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NSM-24</w:t>
      </w:r>
    </w:p>
    <w:p>
      <w:pPr>
        <w:spacing w:after="80"/>
      </w:pPr>
      <w:r>
        <w:rPr>
          <w:rFonts w:ascii="Georgia" w:cs="Georgia" w:eastAsia="Georgia" w:hAnsi="Georgia"/>
          <w:b/>
          <w:bCs/>
          <w:color w:val="1C1917"/>
          <w:sz w:val="44"/>
          <w:szCs w:val="44"/>
        </w:rPr>
        <w:t xml:space="preserve">Uygunsuzluk ve Düzeltici Faaliyet Talebi</w:t>
      </w:r>
    </w:p>
    <w:p>
      <w:pPr>
        <w:spacing w:after="160" w:before="60" w:line="276"/>
      </w:pPr>
      <w:r>
        <w:rPr>
          <w:rFonts w:ascii="Arial" w:cs="Arial" w:eastAsia="Arial" w:hAnsi="Arial"/>
          <w:color w:val="57534E"/>
          <w:sz w:val="22"/>
          <w:szCs w:val="22"/>
        </w:rPr>
        <w:t xml:space="preserve">Bir uygunsuzluğu resmî olarak kayda geçirir ve tedarikçiden önleme, kök neden ve düzeltici faaliyet ister.</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Performans</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Raporu uygunsuzluk bulunur bulunmaz açın ve kanıtları ekleyin (fotoğraf, test sonucu, irsaliye).</w:t>
      </w:r>
    </w:p>
    <w:p>
      <w:pPr>
        <w:pStyle w:val="ListParagraph"/>
        <w:numPr>
          <w:ilvl w:val="0"/>
          <w:numId w:val="2"/>
        </w:numPr>
        <w:spacing w:after="30" w:before="10" w:line="276"/>
      </w:pPr>
      <w:r>
        <w:rPr>
          <w:rFonts w:ascii="Arial" w:cs="Arial" w:eastAsia="Arial" w:hAnsi="Arial"/>
          <w:color w:val="57534E"/>
          <w:sz w:val="19"/>
          <w:szCs w:val="19"/>
        </w:rPr>
        <w:t xml:space="preserve">Kök nedeni sormadan önce etkilenen kalemlerin ne olacağına karar verin. Önce üretim ve müşteri gelir.</w:t>
      </w:r>
    </w:p>
    <w:p>
      <w:pPr>
        <w:pStyle w:val="ListParagraph"/>
        <w:numPr>
          <w:ilvl w:val="0"/>
          <w:numId w:val="2"/>
        </w:numPr>
        <w:spacing w:after="30" w:before="10" w:line="276"/>
      </w:pPr>
      <w:r>
        <w:rPr>
          <w:rFonts w:ascii="Arial" w:cs="Arial" w:eastAsia="Arial" w:hAnsi="Arial"/>
          <w:color w:val="57534E"/>
          <w:sz w:val="19"/>
          <w:szCs w:val="19"/>
        </w:rPr>
        <w:t xml:space="preserve">Raporu tedarikçi yanıt verdiğinde değil, düzeltici faaliyetin etkin olduğu doğrulandığında kapatın.</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Bölüm A: Uygunsuzluk (alıcı)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Uygunsuzluk rapor numarası ve tarihi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 ve tedarikçi kodu</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Sipariş ve satır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Parça numarası, tanım, parti veya seri numaraları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Teslim edilen, kontrol edilen ve uygunsuz miktar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Nerede bulundu (giriş kontrolü, üretim, saha, müşteri, doküman veya veri kontrolü)</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Gereksinim (şartname maddesi, çizim, standart)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Bulunan (olgular, ölçülen değerler)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Ekli kanıtlar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3276"/>
        <w:gridCol w:w="5784"/>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Önem derecesi</w:t>
            </w:r>
          </w:p>
        </w:tc>
        <w:tc>
          <w:tcPr>
            <w:tcW w:type="dxa" w:w="578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Tanım</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Kritik</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Güvenlik, mevzuat veya müşteri etkisi; kullanımı veya üretimi durdurur.</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Büyük</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İşlevi veya montajı etkiler; kalem teslim edildiği haliyle kullanılamaz.</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Küçük</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İşlevi etkilemez; dokümantasyon, etiketleme veya görünüş.</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Bölüm B: Etkilenen kalemler hakkında karar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3276"/>
        <w:gridCol w:w="5784"/>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327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Karar</w:t>
            </w:r>
          </w:p>
        </w:tc>
        <w:tc>
          <w:tcPr>
            <w:tcW w:type="dxa" w:w="578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Koşullar ve maliyet sorumluluğu</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Değişim için tedarikçiye iade</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 tarafından yeniden işleme (sahada veya tedarikçide)</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Bedeli tedarikçiye ait olmak üzere alıcı tarafından yeniden işleme</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Teknik yetkili onayıyla olduğu gibi kullanım (özel izin)</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327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Hurdaya ayırma</w:t>
            </w:r>
          </w:p>
        </w:tc>
        <w:tc>
          <w:tcPr>
            <w:tcW w:type="dxa" w:w="578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Bölüm C: Tedarikçi yanıtı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Önleme (48 saat içinde)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b w:val="false"/>
                <w:bCs w:val="false"/>
                <w:color w:val="1C1917"/>
                <w:sz w:val="18"/>
                <w:szCs w:val="18"/>
              </w:rPr>
              <w:t xml:space="preserve">Tedarikçideki, yoldaki ve alıcıdaki stok kontrol edildi ve ayrıldı</w:t>
            </w: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Kök neden analizi (kullanılan yöntem, ör. 5 Neden, balık kılçığı)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Bulunan kök neden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Düzeltici faaliyet ve tamamlanma tarihi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Benzer ürün veya süreçler için önleyici faaliyet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 adına imza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Bölüm D: Doğrulama ve kapanış (alıcı)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Doğrulama yöntemi (sonraki teslimatların kontrolü, denetim, veri incelemesi)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Sonuç</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Sözleşme kapsamında geri alınan maliyetler (varsa)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Tedarikçi karnesine etkisi (şablon 23)</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Raporun kapanışı (tarih, ad)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Tekrarlayan uygunsuzluklar bir kalite sorunu olduğu kadar bir ilişki sorunudur. Aynı sorun ikinci kez ortaya çıktığında yazışmayla değil, tedarikçi ve kalite ekibiyle birlikte gözden geçirin. Ortak çalışma grupları çoğu zaman belirsiz çizimler veya değişen tahminler gibi alıcı tarafındaki nedenleri bulur.</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NSM-24  Uygunsuzluk ve Düzeltici Faaliyet Talebi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Uygunsuzluk ve Düzeltici Faaliyet Talebi</dc:title>
  <dc:creator>NSM Sourcing</dc:creator>
  <dc:description>Bir uygunsuzluğu resmî olarak kayda geçirir ve tedarikçiden önleme, kök neden ve düzeltici faaliyet ister.</dc:description>
  <cp:lastModifiedBy>Un-named</cp:lastModifiedBy>
  <cp:revision>1</cp:revision>
  <dcterms:created xsi:type="dcterms:W3CDTF">2026-10-12T12:18:23.586Z</dcterms:created>
  <dcterms:modified xsi:type="dcterms:W3CDTF">2026-10-12T12:18:23.586Z</dcterms:modified>
</cp:coreProperties>
</file>

<file path=docProps/custom.xml><?xml version="1.0" encoding="utf-8"?>
<Properties xmlns="http://schemas.openxmlformats.org/officeDocument/2006/custom-properties" xmlns:vt="http://schemas.openxmlformats.org/officeDocument/2006/docPropsVTypes"/>
</file>