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NSM-18</w:t>
      </w:r>
    </w:p>
    <w:p>
      <w:pPr>
        <w:spacing w:after="80"/>
      </w:pPr>
      <w:r>
        <w:rPr>
          <w:rFonts w:ascii="Georgia" w:cs="Georgia" w:eastAsia="Georgia" w:hAnsi="Georgia"/>
          <w:b/>
          <w:bCs/>
          <w:color w:val="1C1917"/>
          <w:sz w:val="44"/>
          <w:szCs w:val="44"/>
        </w:rPr>
        <w:t xml:space="preserve">Tek Kaynak Gerekçesi</w:t>
      </w:r>
    </w:p>
    <w:p>
      <w:pPr>
        <w:spacing w:after="160" w:before="60" w:line="276"/>
      </w:pPr>
      <w:r>
        <w:rPr>
          <w:rFonts w:ascii="Arial" w:cs="Arial" w:eastAsia="Arial" w:hAnsi="Arial"/>
          <w:color w:val="57534E"/>
          <w:sz w:val="22"/>
          <w:szCs w:val="22"/>
        </w:rPr>
        <w:t xml:space="preserve">Rekabetin neden mümkün veya uygun olmadığını ve değerin yine de nasıl güvenceye alınacağını kayda geçirir.</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Strateji, Sözleşme</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Tedarikçiyle fiyat konusunda temas kurmadan önce doldurun. Siparişten sonra yazılan bir gerekçe kontrol değil, verilmiş bir kararın kaydıdır.</w:t>
      </w:r>
    </w:p>
    <w:p>
      <w:pPr>
        <w:pStyle w:val="ListParagraph"/>
        <w:numPr>
          <w:ilvl w:val="0"/>
          <w:numId w:val="2"/>
        </w:numPr>
        <w:spacing w:after="30" w:before="10" w:line="276"/>
      </w:pPr>
      <w:r>
        <w:rPr>
          <w:rFonts w:ascii="Arial" w:cs="Arial" w:eastAsia="Arial" w:hAnsi="Arial"/>
          <w:color w:val="57534E"/>
          <w:sz w:val="19"/>
          <w:szCs w:val="19"/>
        </w:rPr>
        <w:t xml:space="preserve">Gerçek tek kaynağı (yalnızca bir tedarikçi var) seçilmiş tek kaynaktan (başkaları var ama belirli bir nedenle biri seçiliyor) ayırın.</w:t>
      </w:r>
    </w:p>
    <w:p>
      <w:pPr>
        <w:pStyle w:val="ListParagraph"/>
        <w:numPr>
          <w:ilvl w:val="0"/>
          <w:numId w:val="2"/>
        </w:numPr>
        <w:spacing w:after="30" w:before="10" w:line="276"/>
      </w:pPr>
      <w:r>
        <w:rPr>
          <w:rFonts w:ascii="Arial" w:cs="Arial" w:eastAsia="Arial" w:hAnsi="Arial"/>
          <w:color w:val="57534E"/>
          <w:sz w:val="19"/>
          <w:szCs w:val="19"/>
        </w:rPr>
        <w:t xml:space="preserve">Onay seviyesi, tutar için normal limitin en az bir üst seviyesi olmalıdır.</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İhtiyaç</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Tanım ve şartname referansı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Tahmini tutar (yaşam boyu) ve para birimi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Önerilen tedarikçi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Talep eden ve bütçe sahibi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Gerekçe (uygun olanların hepsini işaretleyip açıklayın)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9060"/>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906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Gerekçe</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Gerekli haklara (patent, lisans, telif, münhasır distribütörlük) yalnızca bir tedarikçi sahip.</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Mevcut ekipman veya sistemlerle uyumluluk ya da standardizasyon; değişiklik orantısız maliyet veya risk doğurur.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Ürün kullanım amacı için yeterlilikten geçmiş veya belgelendirilmiş; başka bir kaynağın yeterliliği maliyetli testler gerektirir.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Geç planlamadan değil, öngörülemeyen olaylardan kaynaklanan gerçek aciliyet.</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Yakın tarihli bir rekabet kabul edilebilir teklif getirmedi.</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değişikliğinin tekrar veya garanti kaybına yol açacağı bir işin devamı.</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Diğer: [açıklayın]</w:t>
            </w: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Açıklama ve kanıtlar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Yapılan piyasa araştırması (kimlerle temas kuruldu, sonuçlar)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Değerin güvenceye alınması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Olması gereken maliyet veya fiyat analizi (şablon 04)</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Güncel maliyet etkenlerine göre güncellenmiş önceki fiyatlarla karşılaştırma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Müzakere planı (şablon 17)</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Elde edilen koşullar: fiyat geçerliliği, garanti, destek, yedek parça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Tek kaynak çoğu zaman tasarım veya yeterlilik konusunda daha önce verilmiş bir kararın işaretidir. Yeterlilikten geçmiş bir montajın yeniden test edilmesi gibi ürünü değiştirmenin maliyeti yüksek olduğunda, tasarımı koruyup tedariki genişletmenin yollarını arayın: orijinal alt kademe üreticiye doğrudan ulaşmak veya kalan malzemeyle son bir üretim partisi istemek, üretimden kalkan parça sorununu yeniden tasarıma gerek kalmadan çözebilir.</w:t>
      </w:r>
    </w:p>
    <w:p>
      <w:pPr>
        <w:keepNext/>
        <w:pBdr>
          <w:bottom w:val="single" w:color="A16207" w:sz="6" w:space="4"/>
        </w:pBdr>
        <w:spacing w:after="120" w:before="320"/>
      </w:pPr>
      <w:r>
        <w:rPr>
          <w:rFonts w:ascii="Georgia" w:cs="Georgia" w:eastAsia="Georgia" w:hAnsi="Georgia"/>
          <w:b/>
          <w:bCs/>
          <w:color w:val="1C1917"/>
          <w:sz w:val="28"/>
          <w:szCs w:val="28"/>
        </w:rPr>
        <w:t xml:space="preserve">4. Gelecekte rekabet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 ihtiyaç gelecekte rekabete açılabilir mi? Nasıl ve ne zaman?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Bağımlılığı azaltacak adımlar (alternatif kaynak, tasarım değişikliği, lisans, emniyet stoku)</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 kaynağın jeopolitik ve güzergâh maruziyeti (şablon 29)</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Süreklilik planı: dayanma süresine karşı toparlanma süresi (şablon 31)</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 soyad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İmza</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Talep eden</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Satın alma sorumlusu</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Onaylayan (yetki devrine göre)</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NSM-18  Tek Kaynak Gerekçesi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 Kaynak Gerekçesi</dc:title>
  <dc:creator>NSM Sourcing</dc:creator>
  <dc:description>Rekabetin neden mümkün veya uygun olmadığını ve değerin yine de nasıl güvenceye alınacağını kayda geçirir.</dc:description>
  <cp:lastModifiedBy>Un-named</cp:lastModifiedBy>
  <cp:revision>1</cp:revision>
  <dcterms:created xsi:type="dcterms:W3CDTF">2026-10-12T12:18:23.456Z</dcterms:created>
  <dcterms:modified xsi:type="dcterms:W3CDTF">2026-10-12T12:18:23.456Z</dcterms:modified>
</cp:coreProperties>
</file>

<file path=docProps/custom.xml><?xml version="1.0" encoding="utf-8"?>
<Properties xmlns="http://schemas.openxmlformats.org/officeDocument/2006/custom-properties" xmlns:vt="http://schemas.openxmlformats.org/officeDocument/2006/docPropsVTypes"/>
</file>