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854D0E"/>
          <w:spacing w:val="30"/>
          <w:sz w:val="17"/>
          <w:szCs w:val="17"/>
        </w:rPr>
        <w:t xml:space="preserve">NSM SOURCING  ·  SATIN ALMA ŞABLONU  NSM-17</w:t>
      </w:r>
    </w:p>
    <w:p>
      <w:pPr>
        <w:spacing w:after="80"/>
      </w:pPr>
      <w:r>
        <w:rPr>
          <w:rFonts w:ascii="Georgia" w:cs="Georgia" w:eastAsia="Georgia" w:hAnsi="Georgia"/>
          <w:b/>
          <w:bCs/>
          <w:color w:val="1C1917"/>
          <w:sz w:val="44"/>
          <w:szCs w:val="44"/>
        </w:rPr>
        <w:t xml:space="preserve">Müzakere Planı</w:t>
      </w:r>
    </w:p>
    <w:p>
      <w:pPr>
        <w:spacing w:after="160" w:before="60" w:line="276"/>
      </w:pPr>
      <w:r>
        <w:rPr>
          <w:rFonts w:ascii="Arial" w:cs="Arial" w:eastAsia="Arial" w:hAnsi="Arial"/>
          <w:color w:val="57534E"/>
          <w:sz w:val="22"/>
          <w:szCs w:val="22"/>
        </w:rPr>
        <w:t xml:space="preserve">Ekibi olgulara dayanarak müzakereye hazırlar: hedefler, pozisyonlar, alternatifler ve planlı tavizler.</w:t>
      </w:r>
    </w:p>
    <w:p>
      <w:pPr>
        <w:pBdr>
          <w:bottom w:val="single" w:color="D6D3CE" w:sz="4" w:space="6"/>
        </w:pBdr>
        <w:spacing w:after="200"/>
      </w:pPr>
      <w:r>
        <w:rPr>
          <w:rFonts w:ascii="Arial" w:cs="Arial" w:eastAsia="Arial" w:hAnsi="Arial"/>
          <w:b/>
          <w:bCs/>
          <w:color w:val="1C1917"/>
          <w:sz w:val="18"/>
          <w:szCs w:val="18"/>
        </w:rPr>
        <w:t xml:space="preserve">Satın alma ve tedarik döngüsü aşaması: </w:t>
      </w:r>
      <w:r>
        <w:rPr>
          <w:rFonts w:ascii="Arial" w:cs="Arial" w:eastAsia="Arial" w:hAnsi="Arial"/>
          <w:color w:val="57534E"/>
          <w:sz w:val="18"/>
          <w:szCs w:val="18"/>
        </w:rPr>
        <w:t xml:space="preserve">Değerlendirme, Sözleşme</w:t>
      </w:r>
    </w:p>
    <w:p>
      <w:pPr>
        <w:spacing w:after="80" w:before="120"/>
      </w:pPr>
      <w:r>
        <w:rPr>
          <w:rFonts w:ascii="Georgia" w:cs="Georgia" w:eastAsia="Georgia" w:hAnsi="Georgia"/>
          <w:b/>
          <w:bCs/>
          <w:color w:val="1C1917"/>
          <w:sz w:val="24"/>
          <w:szCs w:val="24"/>
        </w:rPr>
        <w:t xml:space="preserve">Bu şablon nasıl kullanılır</w:t>
      </w:r>
    </w:p>
    <w:p>
      <w:pPr>
        <w:pStyle w:val="ListParagraph"/>
        <w:numPr>
          <w:ilvl w:val="0"/>
          <w:numId w:val="2"/>
        </w:numPr>
        <w:spacing w:after="30" w:before="10" w:line="276"/>
      </w:pPr>
      <w:r>
        <w:rPr>
          <w:rFonts w:ascii="Arial" w:cs="Arial" w:eastAsia="Arial" w:hAnsi="Arial"/>
          <w:color w:val="57534E"/>
          <w:sz w:val="19"/>
          <w:szCs w:val="19"/>
        </w:rPr>
        <w:t xml:space="preserve">İlk görüşmeden önce doldurun ve bütçe sahibiyle mutabık kalın. Vazgeçme noktası doğaçlama değil, onaylanmış olmalıdır.</w:t>
      </w:r>
    </w:p>
    <w:p>
      <w:pPr>
        <w:pStyle w:val="ListParagraph"/>
        <w:numPr>
          <w:ilvl w:val="0"/>
          <w:numId w:val="2"/>
        </w:numPr>
        <w:spacing w:after="30" w:before="10" w:line="276"/>
      </w:pPr>
      <w:r>
        <w:rPr>
          <w:rFonts w:ascii="Arial" w:cs="Arial" w:eastAsia="Arial" w:hAnsi="Arial"/>
          <w:color w:val="57534E"/>
          <w:sz w:val="19"/>
          <w:szCs w:val="19"/>
        </w:rPr>
        <w:t xml:space="preserve">Bu doküman kurum içidir. Yalnızca ekibin açıklamaya karar verdiği bilgiler paylaşılır.</w:t>
      </w:r>
    </w:p>
    <w:p>
      <w:pPr>
        <w:pStyle w:val="ListParagraph"/>
        <w:numPr>
          <w:ilvl w:val="0"/>
          <w:numId w:val="2"/>
        </w:numPr>
        <w:spacing w:after="30" w:before="10" w:line="276"/>
      </w:pPr>
      <w:r>
        <w:rPr>
          <w:rFonts w:ascii="Arial" w:cs="Arial" w:eastAsia="Arial" w:hAnsi="Arial"/>
          <w:color w:val="57534E"/>
          <w:sz w:val="19"/>
          <w:szCs w:val="19"/>
        </w:rPr>
        <w:t xml:space="preserve">Müzakereden sonra, ayrıntılar unutulmadan bölüm 9’u doldurun.</w:t>
      </w:r>
    </w:p>
    <w:p>
      <w:pPr>
        <w:keepNext/>
        <w:pBdr>
          <w:bottom w:val="single" w:color="A16207" w:sz="6" w:space="4"/>
        </w:pBdr>
        <w:spacing w:after="120" w:before="320"/>
      </w:pPr>
      <w:r>
        <w:rPr>
          <w:rFonts w:ascii="Georgia" w:cs="Georgia" w:eastAsia="Georgia" w:hAnsi="Georgia"/>
          <w:b/>
          <w:bCs/>
          <w:color w:val="1C1917"/>
          <w:sz w:val="28"/>
          <w:szCs w:val="28"/>
        </w:rPr>
        <w:t xml:space="preserve">Doküman kontrolü</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Kurum</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Referans numarası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Sürüm ve tarih</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Hazırlayan (ad, görev)</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Gözden geçiren ve onaylayan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Gizlilik derecesi (ör. kurum içi, gizli)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1. Bağlam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Tedarikçi ve sözleşme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Tutar ve süre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Aşama (ihale sonrası, tek kaynak, yenileme, anlaşmazlık)</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İlişki hedefi (tek seferlik, uzun vadeli, stratejik)</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2. Olgular ve analiz</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Yaklaşık maliyetimiz veya olması gereken maliyet tahminimiz (şablon 04)</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Tedarikçinin teklifi ve başlıca maliyet unsurları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Fark ve olası nedenleri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Tedarikçinin durumu: kapasite, sipariş yükü, bize bağımlılığı, rakipleri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Bizim durumumuz: alternatifler, son tarihler, kurum içi baskılar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3. Hedefler ve pozisyonlar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98"/>
        <w:gridCol w:w="1734"/>
        <w:gridCol w:w="1734"/>
        <w:gridCol w:w="1734"/>
        <w:gridCol w:w="1738"/>
      </w:tblGrid>
      <w:tr>
        <w:trPr>
          <w:cantSplit/>
          <w:tblHeader/>
        </w:trPr>
        <w:tc>
          <w:tcPr>
            <w:tcW w:type="dxa" w:w="269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Konu</w:t>
            </w:r>
          </w:p>
        </w:tc>
        <w:tc>
          <w:tcPr>
            <w:tcW w:type="dxa" w:w="173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Açılış pozisyonu</w:t>
            </w:r>
          </w:p>
        </w:tc>
        <w:tc>
          <w:tcPr>
            <w:tcW w:type="dxa" w:w="173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Hedef</w:t>
            </w:r>
          </w:p>
        </w:tc>
        <w:tc>
          <w:tcPr>
            <w:tcW w:type="dxa" w:w="173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Vazgeçme noktası</w:t>
            </w:r>
          </w:p>
        </w:tc>
        <w:tc>
          <w:tcPr>
            <w:tcW w:type="dxa" w:w="173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Öncelik</w:t>
            </w: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Fiyat</w:t>
            </w: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Ödeme koşulları</w:t>
            </w: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Teslim süresi</w:t>
            </w: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Garanti ve destek</w:t>
            </w: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Sorumluluk ve cezai şartlar</w:t>
            </w: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Fiyat güncelleme (endeks, tavan ve taban)</w:t>
            </w: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Enerji, yakıt ve savaş riski ek ücretleri</w:t>
            </w: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Yeni gümrük vergisi, harç veya karbon maliyetlerini kimin üstleneceği</w:t>
            </w: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Süreklilik taahhütleri (kapasite, emniyet stoku)</w:t>
            </w: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4. Alternatifler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Anlaşma olmazsa en iyi alternatifimiz</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Tedarikçinin en iyi alternatifine dair tahminimiz</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Görüşmeden önce alternatifimizi güçlendirecek adımlar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5. Taviz planı</w:t>
      </w:r>
    </w:p>
    <w:p>
      <w:pPr>
        <w:spacing w:after="100" w:before="60" w:line="276"/>
      </w:pPr>
      <w:r>
        <w:rPr>
          <w:rFonts w:ascii="Arial" w:cs="Arial" w:eastAsia="Arial" w:hAnsi="Arial"/>
          <w:i/>
          <w:iCs/>
          <w:color w:val="57534E"/>
          <w:sz w:val="18"/>
          <w:szCs w:val="18"/>
        </w:rPr>
        <w:t xml:space="preserve">Bize az maliyeti olan ama tedarikçi için değerli olanları ve karşılığında ne istediğimizi listeleyin. Karşılık almadan taviz vermeyin.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55"/>
        <w:gridCol w:w="3855"/>
        <w:gridCol w:w="1928"/>
      </w:tblGrid>
      <w:tr>
        <w:trPr>
          <w:cantSplit/>
          <w:tblHeader/>
        </w:trPr>
        <w:tc>
          <w:tcPr>
            <w:tcW w:type="dxa" w:w="385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Sunabileceğimiz</w:t>
            </w:r>
          </w:p>
        </w:tc>
        <w:tc>
          <w:tcPr>
            <w:tcW w:type="dxa" w:w="385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Karşılığında</w:t>
            </w:r>
          </w:p>
        </w:tc>
        <w:tc>
          <w:tcPr>
            <w:tcW w:type="dxa" w:w="192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Bize maliyeti</w:t>
            </w: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[ör. Daha uzun sözleşme süresi]</w:t>
            </w:r>
          </w:p>
        </w:tc>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[Fiyatın tüm süre boyunca sabit kalması]</w:t>
            </w:r>
          </w:p>
        </w:tc>
        <w:tc>
          <w:tcPr>
            <w:tcW w:type="dxa" w:w="192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[ör. Üç aylık talep tahmini paylaşımı]</w:t>
            </w:r>
          </w:p>
        </w:tc>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[Daha kısa teslim süresi]</w:t>
            </w:r>
          </w:p>
        </w:tc>
        <w:tc>
          <w:tcPr>
            <w:tcW w:type="dxa" w:w="192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[ör. Daha erken ödeme]</w:t>
            </w:r>
          </w:p>
        </w:tc>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[Ek iskonto]</w:t>
            </w:r>
          </w:p>
        </w:tc>
        <w:tc>
          <w:tcPr>
            <w:tcW w:type="dxa" w:w="192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6. Ekip ve roller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2891"/>
        <w:gridCol w:w="3856"/>
      </w:tblGrid>
      <w:tr>
        <w:trPr>
          <w:cantSplit/>
          <w:tblHeader/>
        </w:trPr>
        <w:tc>
          <w:tcPr>
            <w:tcW w:type="dxa" w:w="289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Ad</w:t>
            </w:r>
          </w:p>
        </w:tc>
        <w:tc>
          <w:tcPr>
            <w:tcW w:type="dxa" w:w="289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Rol</w:t>
            </w:r>
          </w:p>
        </w:tc>
        <w:tc>
          <w:tcPr>
            <w:tcW w:type="dxa" w:w="385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Görüşmedeki sorumluluğu</w:t>
            </w:r>
          </w:p>
        </w:tc>
      </w:tr>
      <w:tr>
        <w:trPr>
          <w:cantSplit/>
          <w:tblHeader w:val="false"/>
          <w:trHeight w:val="360" w:hRule="atLeast"/>
        </w:trPr>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Müzakere sorumlusu</w:t>
            </w:r>
          </w:p>
        </w:tc>
        <w:tc>
          <w:tcPr>
            <w:tcW w:type="dxa" w:w="38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Ekip adına konuşur, öneri yapar</w:t>
            </w:r>
          </w:p>
        </w:tc>
      </w:tr>
      <w:tr>
        <w:trPr>
          <w:cantSplit/>
          <w:tblHeader w:val="false"/>
          <w:trHeight w:val="360" w:hRule="atLeast"/>
        </w:trPr>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Teknik uzman</w:t>
            </w:r>
          </w:p>
        </w:tc>
        <w:tc>
          <w:tcPr>
            <w:tcW w:type="dxa" w:w="38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Yalnızca teknik konuları yanıtlar</w:t>
            </w:r>
          </w:p>
        </w:tc>
      </w:tr>
      <w:tr>
        <w:trPr>
          <w:cantSplit/>
          <w:tblHeader w:val="false"/>
          <w:trHeight w:val="360" w:hRule="atLeast"/>
        </w:trPr>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Not tutan ve gözlemci</w:t>
            </w:r>
          </w:p>
        </w:tc>
        <w:tc>
          <w:tcPr>
            <w:tcW w:type="dxa" w:w="38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Teklifleri kaydeder, işaretleri izler</w:t>
            </w: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7. Gündem ve taktikler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Önerilen gündem ve konuların sırası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Tedarikçiye sorulacak sorular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Açıklamayacağımız bilgiler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Tedarikçinin olası argümanları ve yanıtlarımız</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pBdr>
          <w:left w:val="single" w:color="A16207" w:sz="18" w:space="8"/>
        </w:pBdr>
        <w:shd w:fill="F0EDE6" w:color="auto" w:val="clear"/>
        <w:spacing w:after="160" w:before="120" w:line="276"/>
        <w:ind w:left="160" w:right="120"/>
      </w:pPr>
      <w:r>
        <w:rPr>
          <w:rFonts w:ascii="Arial" w:cs="Arial" w:eastAsia="Arial" w:hAnsi="Arial"/>
          <w:b/>
          <w:bCs/>
          <w:color w:val="854D0E"/>
          <w:sz w:val="18"/>
          <w:szCs w:val="18"/>
        </w:rPr>
        <w:t xml:space="preserve">Uygulama notu.  </w:t>
      </w:r>
      <w:r>
        <w:rPr>
          <w:rFonts w:ascii="Arial" w:cs="Arial" w:eastAsia="Arial" w:hAnsi="Arial"/>
          <w:color w:val="1C1917"/>
          <w:sz w:val="18"/>
          <w:szCs w:val="18"/>
        </w:rPr>
        <w:t xml:space="preserve">Fiyat farkı büyük olduğunda fiyattan değil, maliyet modelinden başlayın. Maliyet etkenlerini satır satır birlikte gözden geçirmek farkın gerçekte nerede olduğunu gösterir ve iki tarafın da itibar kaybetmeden hareket etmesine imkân verir. Anlaşma mümkün değilse, piyasaya geri dönmeye dair açık ve gerekçeli bir karar başlı başına güçlü bir mesajdır.</w:t>
      </w:r>
    </w:p>
    <w:p>
      <w:pPr>
        <w:spacing w:after="100" w:before="60" w:line="276"/>
      </w:pPr>
      <w:r>
        <w:rPr>
          <w:rFonts w:ascii="Arial" w:cs="Arial" w:eastAsia="Arial" w:hAnsi="Arial"/>
          <w:i/>
          <w:iCs/>
          <w:color w:val="57534E"/>
          <w:sz w:val="18"/>
          <w:szCs w:val="18"/>
        </w:rPr>
        <w:t xml:space="preserve">Yapay zekâ araçları görüşmeden önce verileri bir araya getirebilir, tedarikçinin durumunu özetleyebilir ve senaryoları sınayabilir. Yalnızca gizli veri için onaylı araçları kullanın, vazgeçme noktasını onaysız bir araca asla girmeyin ve her rakamı kaynağıyla karşılaştırın.</w:t>
      </w:r>
    </w:p>
    <w:p>
      <w:pPr>
        <w:keepNext/>
        <w:pBdr>
          <w:bottom w:val="single" w:color="A16207" w:sz="6" w:space="4"/>
        </w:pBdr>
        <w:spacing w:after="120" w:before="320"/>
      </w:pPr>
      <w:r>
        <w:rPr>
          <w:rFonts w:ascii="Georgia" w:cs="Georgia" w:eastAsia="Georgia" w:hAnsi="Georgia"/>
          <w:b/>
          <w:bCs/>
          <w:color w:val="1C1917"/>
          <w:sz w:val="28"/>
          <w:szCs w:val="28"/>
        </w:rPr>
        <w:t xml:space="preserve">8. Etik</w:t>
      </w:r>
    </w:p>
    <w:p>
      <w:pPr>
        <w:spacing w:after="100" w:before="60" w:line="276"/>
      </w:pPr>
      <w:r>
        <w:rPr>
          <w:rFonts w:ascii="Arial" w:cs="Arial" w:eastAsia="Arial" w:hAnsi="Arial"/>
          <w:color w:val="1C1917"/>
          <w:sz w:val="20"/>
          <w:szCs w:val="20"/>
        </w:rPr>
        <w:t xml:space="preserve">Ekip dürüst müzakere eder, olguları veya rakip teklifleri çarpıtmaz ve tedarikçinin bilgilerini gizli tutar.</w:t>
      </w:r>
    </w:p>
    <w:p>
      <w:pPr>
        <w:keepNext/>
        <w:pBdr>
          <w:bottom w:val="single" w:color="A16207" w:sz="6" w:space="4"/>
        </w:pBdr>
        <w:spacing w:after="120" w:before="320"/>
      </w:pPr>
      <w:r>
        <w:rPr>
          <w:rFonts w:ascii="Georgia" w:cs="Georgia" w:eastAsia="Georgia" w:hAnsi="Georgia"/>
          <w:b/>
          <w:bCs/>
          <w:color w:val="1C1917"/>
          <w:sz w:val="28"/>
          <w:szCs w:val="28"/>
        </w:rPr>
        <w:t xml:space="preserve">9. Sonuç kaydı</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Mutabık kalınan koşullar (yazılı teyidi ekleyin)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Hedefe ve vazgeçme noktasına göre sonuç</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Açık konular ve sorumluları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Bir sonraki müzakere için dersler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2505"/>
        <w:gridCol w:w="2891"/>
        <w:gridCol w:w="1929"/>
      </w:tblGrid>
      <w:tr>
        <w:trPr>
          <w:cantSplit/>
          <w:tblHeader/>
        </w:trPr>
        <w:tc>
          <w:tcPr>
            <w:tcW w:type="dxa" w:w="2313"/>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Rol</w:t>
            </w:r>
          </w:p>
        </w:tc>
        <w:tc>
          <w:tcPr>
            <w:tcW w:type="dxa" w:w="250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Ad soyad</w:t>
            </w:r>
          </w:p>
        </w:tc>
        <w:tc>
          <w:tcPr>
            <w:tcW w:type="dxa" w:w="289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İmza</w:t>
            </w:r>
          </w:p>
        </w:tc>
        <w:tc>
          <w:tcPr>
            <w:tcW w:type="dxa" w:w="192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Tarih</w:t>
            </w: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Müzakere sorumlusu</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Bütçe sahibi (vazgeçme noktası onayı)</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sectPr>
      <w:headerReference w:type="default" r:id="rId7"/>
      <w:footerReference w:type="default" r:id="rId8"/>
      <w:pgSz w:w="11906" w:h="16838" w:orient="portrait"/>
      <w:pgMar w:top="1134" w:right="1134" w:bottom="1134" w:left="1134"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D3CE" w:sz="4" w:space="4"/>
      </w:pBdr>
    </w:pPr>
    <w:r>
      <w:rPr>
        <w:rFonts w:ascii="Arial" w:cs="Arial" w:eastAsia="Arial" w:hAnsi="Arial"/>
        <w:color w:val="57534E"/>
        <w:sz w:val="15"/>
        <w:szCs w:val="15"/>
      </w:rPr>
      <w:t xml:space="preserve">NSM Sourcing  ·  nsmsourcing.com  ·  </w:t>
    </w:r>
    <w:r>
      <w:rPr>
        <w:rFonts w:ascii="Arial" w:cs="Arial" w:eastAsia="Arial" w:hAnsi="Arial"/>
        <w:color w:val="57534E"/>
        <w:sz w:val="15"/>
        <w:szCs w:val="15"/>
      </w:rPr>
      <w:t xml:space="preserve">CC BY 4.0: NSM Sourcing’e atıf yapılarak serbestçe kullanılabilir ve uyarlanabilir. Genel bir kılavuzdur, hukuki danışmanlık değildir.</w:t>
    </w:r>
  </w:p>
  <w:p>
    <w:pPr>
      <w:jc w:val="right"/>
    </w:pPr>
    <w:r>
      <w:rPr>
        <w:rFonts w:ascii="Arial" w:cs="Arial" w:eastAsia="Arial" w:hAnsi="Arial"/>
        <w:color w:val="57534E"/>
        <w:sz w:val="15"/>
        <w:szCs w:val="15"/>
      </w:rPr>
      <w:t xml:space="preserve">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7534E"/>
        <w:sz w:val="15"/>
        <w:szCs w:val="15"/>
      </w:rPr>
      <w:t xml:space="preserve">NSM-17  Müzakere Planı</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Müzakere Planı</dc:title>
  <dc:creator>NSM Sourcing</dc:creator>
  <dc:description>Ekibi olgulara dayanarak müzakereye hazırlar: hedefler, pozisyonlar, alternatifler ve planlı tavizler.</dc:description>
  <cp:lastModifiedBy>Un-named</cp:lastModifiedBy>
  <cp:revision>1</cp:revision>
  <dcterms:created xsi:type="dcterms:W3CDTF">2026-10-12T12:18:23.399Z</dcterms:created>
  <dcterms:modified xsi:type="dcterms:W3CDTF">2026-10-12T12:18:23.399Z</dcterms:modified>
</cp:coreProperties>
</file>

<file path=docProps/custom.xml><?xml version="1.0" encoding="utf-8"?>
<Properties xmlns="http://schemas.openxmlformats.org/officeDocument/2006/custom-properties" xmlns:vt="http://schemas.openxmlformats.org/officeDocument/2006/docPropsVTypes"/>
</file>