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854D0E"/>
          <w:spacing w:val="30"/>
          <w:sz w:val="17"/>
          <w:szCs w:val="17"/>
        </w:rPr>
        <w:t xml:space="preserve">NSM SOURCING  ·  SATIN ALMA ŞABLONU  NSM-12</w:t>
      </w:r>
    </w:p>
    <w:p>
      <w:pPr>
        <w:spacing w:after="80"/>
      </w:pPr>
      <w:r>
        <w:rPr>
          <w:rFonts w:ascii="Georgia" w:cs="Georgia" w:eastAsia="Georgia" w:hAnsi="Georgia"/>
          <w:b/>
          <w:bCs/>
          <w:color w:val="1C1917"/>
          <w:sz w:val="44"/>
          <w:szCs w:val="44"/>
        </w:rPr>
        <w:t xml:space="preserve">İhaleye Davet (ITT / RFP)</w:t>
      </w:r>
    </w:p>
    <w:p>
      <w:pPr>
        <w:spacing w:after="160" w:before="60" w:line="276"/>
      </w:pPr>
      <w:r>
        <w:rPr>
          <w:rFonts w:ascii="Arial" w:cs="Arial" w:eastAsia="Arial" w:hAnsi="Arial"/>
          <w:color w:val="57534E"/>
          <w:sz w:val="22"/>
          <w:szCs w:val="22"/>
        </w:rPr>
        <w:t xml:space="preserve">Karmaşık veya yüksek tutarlı ihtiyaçlar için resmî ihale dokümanı: talimatlar, takvim, değerlendirme yöntemi ve sözleşme esası.</w:t>
      </w:r>
    </w:p>
    <w:p>
      <w:pPr>
        <w:pBdr>
          <w:bottom w:val="single" w:color="D6D3CE" w:sz="4" w:space="6"/>
        </w:pBdr>
        <w:spacing w:after="200"/>
      </w:pPr>
      <w:r>
        <w:rPr>
          <w:rFonts w:ascii="Arial" w:cs="Arial" w:eastAsia="Arial" w:hAnsi="Arial"/>
          <w:b/>
          <w:bCs/>
          <w:color w:val="1C1917"/>
          <w:sz w:val="18"/>
          <w:szCs w:val="18"/>
        </w:rPr>
        <w:t xml:space="preserve">Satın alma ve tedarik döngüsü aşaması: </w:t>
      </w:r>
      <w:r>
        <w:rPr>
          <w:rFonts w:ascii="Arial" w:cs="Arial" w:eastAsia="Arial" w:hAnsi="Arial"/>
          <w:color w:val="57534E"/>
          <w:sz w:val="18"/>
          <w:szCs w:val="18"/>
        </w:rPr>
        <w:t xml:space="preserve">Dokümantasyon, İhale</w:t>
      </w:r>
    </w:p>
    <w:p>
      <w:pPr>
        <w:spacing w:after="80" w:before="120"/>
      </w:pPr>
      <w:r>
        <w:rPr>
          <w:rFonts w:ascii="Georgia" w:cs="Georgia" w:eastAsia="Georgia" w:hAnsi="Georgia"/>
          <w:b/>
          <w:bCs/>
          <w:color w:val="1C1917"/>
          <w:sz w:val="24"/>
          <w:szCs w:val="24"/>
        </w:rPr>
        <w:t xml:space="preserve">Bu şablon nasıl kullanılır</w:t>
      </w:r>
    </w:p>
    <w:p>
      <w:pPr>
        <w:pStyle w:val="ListParagraph"/>
        <w:numPr>
          <w:ilvl w:val="0"/>
          <w:numId w:val="2"/>
        </w:numPr>
        <w:spacing w:after="30" w:before="10" w:line="276"/>
      </w:pPr>
      <w:r>
        <w:rPr>
          <w:rFonts w:ascii="Arial" w:cs="Arial" w:eastAsia="Arial" w:hAnsi="Arial"/>
          <w:color w:val="57534E"/>
          <w:sz w:val="19"/>
          <w:szCs w:val="19"/>
        </w:rPr>
        <w:t xml:space="preserve">Şartnameyi (şablon 02), fiyat cetvelini (şablon 13) ve sözleşme taslağını ekleyin. Bu doküman rekabetin kurallarını açıklar.</w:t>
      </w:r>
    </w:p>
    <w:p>
      <w:pPr>
        <w:pStyle w:val="ListParagraph"/>
        <w:numPr>
          <w:ilvl w:val="0"/>
          <w:numId w:val="2"/>
        </w:numPr>
        <w:spacing w:after="30" w:before="10" w:line="276"/>
      </w:pPr>
      <w:r>
        <w:rPr>
          <w:rFonts w:ascii="Arial" w:cs="Arial" w:eastAsia="Arial" w:hAnsi="Arial"/>
          <w:color w:val="57534E"/>
          <w:sz w:val="19"/>
          <w:szCs w:val="19"/>
        </w:rPr>
        <w:t xml:space="preserve">Değerlendirme kriterlerini ve ağırlıklarını bu dokümanda ilan edin ve ilan edildiği şekilde uygulayın.</w:t>
      </w:r>
    </w:p>
    <w:p>
      <w:pPr>
        <w:pStyle w:val="ListParagraph"/>
        <w:numPr>
          <w:ilvl w:val="0"/>
          <w:numId w:val="2"/>
        </w:numPr>
        <w:spacing w:after="30" w:before="10" w:line="276"/>
      </w:pPr>
      <w:r>
        <w:rPr>
          <w:rFonts w:ascii="Arial" w:cs="Arial" w:eastAsia="Arial" w:hAnsi="Arial"/>
          <w:color w:val="57534E"/>
          <w:sz w:val="19"/>
          <w:szCs w:val="19"/>
        </w:rPr>
        <w:t xml:space="preserve">Her açıklama sorusunu ve yanıtını kayda geçirin; yanıtları tüm isteklilere aynı anda gönderin.</w:t>
      </w:r>
    </w:p>
    <w:p>
      <w:pPr>
        <w:keepNext/>
        <w:pBdr>
          <w:bottom w:val="single" w:color="A16207" w:sz="6" w:space="4"/>
        </w:pBdr>
        <w:spacing w:after="120" w:before="320"/>
      </w:pPr>
      <w:r>
        <w:rPr>
          <w:rFonts w:ascii="Georgia" w:cs="Georgia" w:eastAsia="Georgia" w:hAnsi="Georgia"/>
          <w:b/>
          <w:bCs/>
          <w:color w:val="1C1917"/>
          <w:sz w:val="28"/>
          <w:szCs w:val="28"/>
        </w:rPr>
        <w:t xml:space="preserve">Doküman kontrolü</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Kurum</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Referans numarası</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Sürüm ve tarih</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Hazırlayan (ad, görev)</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Gözden geçiren ve onaylayan</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Gizlilik derecesi (ör. kurum içi, gizli)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1. Giriş</w:t>
      </w:r>
    </w:p>
    <w:p>
      <w:pPr>
        <w:spacing w:after="100" w:before="60" w:line="276"/>
      </w:pPr>
      <w:r>
        <w:rPr>
          <w:rFonts w:ascii="Arial" w:cs="Arial" w:eastAsia="Arial" w:hAnsi="Arial"/>
          <w:color w:val="1C1917"/>
          <w:sz w:val="20"/>
          <w:szCs w:val="20"/>
        </w:rPr>
        <w:t xml:space="preserve">[Kurum adı] (“Alıcı”), ekteki şartnamede tanımlanan [ihtiyacın adı] için teklif davet etmektedir. Sözleşmenin [başlangıç tarihi] itibarıyla [süre] boyunca yürürlükte kalması, [süre] uzatma opsiyonuyla birlikte öngörülmektedir.</w:t>
      </w:r>
    </w:p>
    <w:p>
      <w:pPr>
        <w:keepNext/>
        <w:pBdr>
          <w:bottom w:val="single" w:color="A16207" w:sz="6" w:space="4"/>
        </w:pBdr>
        <w:spacing w:after="120" w:before="320"/>
      </w:pPr>
      <w:r>
        <w:rPr>
          <w:rFonts w:ascii="Georgia" w:cs="Georgia" w:eastAsia="Georgia" w:hAnsi="Georgia"/>
          <w:b/>
          <w:bCs/>
          <w:color w:val="1C1917"/>
          <w:sz w:val="28"/>
          <w:szCs w:val="28"/>
        </w:rPr>
        <w:t xml:space="preserve">2. İhale dokümanları</w:t>
      </w:r>
    </w:p>
    <w:p>
      <w:pPr>
        <w:pStyle w:val="ListParagraph"/>
        <w:numPr>
          <w:ilvl w:val="0"/>
          <w:numId w:val="2"/>
        </w:numPr>
        <w:spacing w:after="40" w:before="20" w:line="276"/>
      </w:pPr>
      <w:r>
        <w:rPr>
          <w:rFonts w:ascii="Arial" w:cs="Arial" w:eastAsia="Arial" w:hAnsi="Arial"/>
          <w:color w:val="1C1917"/>
          <w:sz w:val="20"/>
          <w:szCs w:val="20"/>
        </w:rPr>
        <w:t xml:space="preserve">Bölüm A: İsteklilere talimatlar (bu doküman)</w:t>
      </w:r>
    </w:p>
    <w:p>
      <w:pPr>
        <w:pStyle w:val="ListParagraph"/>
        <w:numPr>
          <w:ilvl w:val="0"/>
          <w:numId w:val="2"/>
        </w:numPr>
        <w:spacing w:after="40" w:before="20" w:line="276"/>
      </w:pPr>
      <w:r>
        <w:rPr>
          <w:rFonts w:ascii="Arial" w:cs="Arial" w:eastAsia="Arial" w:hAnsi="Arial"/>
          <w:color w:val="1C1917"/>
          <w:sz w:val="20"/>
          <w:szCs w:val="20"/>
        </w:rPr>
        <w:t xml:space="preserve">Bölüm B: Şartname ve iş tanımı</w:t>
      </w:r>
    </w:p>
    <w:p>
      <w:pPr>
        <w:pStyle w:val="ListParagraph"/>
        <w:numPr>
          <w:ilvl w:val="0"/>
          <w:numId w:val="2"/>
        </w:numPr>
        <w:spacing w:after="40" w:before="20" w:line="276"/>
      </w:pPr>
      <w:r>
        <w:rPr>
          <w:rFonts w:ascii="Arial" w:cs="Arial" w:eastAsia="Arial" w:hAnsi="Arial"/>
          <w:color w:val="1C1917"/>
          <w:sz w:val="20"/>
          <w:szCs w:val="20"/>
        </w:rPr>
        <w:t xml:space="preserve">Bölüm C: Fiyat cetveli ve ticari teklif</w:t>
      </w:r>
    </w:p>
    <w:p>
      <w:pPr>
        <w:pStyle w:val="ListParagraph"/>
        <w:numPr>
          <w:ilvl w:val="0"/>
          <w:numId w:val="2"/>
        </w:numPr>
        <w:spacing w:after="40" w:before="20" w:line="276"/>
      </w:pPr>
      <w:r>
        <w:rPr>
          <w:rFonts w:ascii="Arial" w:cs="Arial" w:eastAsia="Arial" w:hAnsi="Arial"/>
          <w:color w:val="1C1917"/>
          <w:sz w:val="20"/>
          <w:szCs w:val="20"/>
        </w:rPr>
        <w:t xml:space="preserve">Bölüm D: Sözleşme taslağı ve genel koşullar</w:t>
      </w:r>
    </w:p>
    <w:p>
      <w:pPr>
        <w:pStyle w:val="ListParagraph"/>
        <w:numPr>
          <w:ilvl w:val="0"/>
          <w:numId w:val="2"/>
        </w:numPr>
        <w:spacing w:after="40" w:before="20" w:line="276"/>
      </w:pPr>
      <w:r>
        <w:rPr>
          <w:rFonts w:ascii="Arial" w:cs="Arial" w:eastAsia="Arial" w:hAnsi="Arial"/>
          <w:color w:val="1C1917"/>
          <w:sz w:val="20"/>
          <w:szCs w:val="20"/>
        </w:rPr>
        <w:t xml:space="preserve">Bölüm E: Beyan formları (uygunluk, çıkar çatışması, gizlilik)</w:t>
      </w:r>
    </w:p>
    <w:p>
      <w:pPr>
        <w:keepNext/>
        <w:pBdr>
          <w:bottom w:val="single" w:color="A16207" w:sz="6" w:space="4"/>
        </w:pBdr>
        <w:spacing w:after="120" w:before="320"/>
      </w:pPr>
      <w:r>
        <w:rPr>
          <w:rFonts w:ascii="Georgia" w:cs="Georgia" w:eastAsia="Georgia" w:hAnsi="Georgia"/>
          <w:b/>
          <w:bCs/>
          <w:color w:val="1C1917"/>
          <w:sz w:val="28"/>
          <w:szCs w:val="28"/>
        </w:rPr>
        <w:t xml:space="preserve">3. İhale veri föyü</w:t>
      </w:r>
    </w:p>
    <w:p>
      <w:pPr>
        <w:spacing w:after="100" w:before="60" w:line="276"/>
      </w:pPr>
      <w:r>
        <w:rPr>
          <w:rFonts w:ascii="Arial" w:cs="Arial" w:eastAsia="Arial" w:hAnsi="Arial"/>
          <w:i/>
          <w:iCs/>
          <w:color w:val="57534E"/>
          <w:sz w:val="18"/>
          <w:szCs w:val="18"/>
        </w:rPr>
        <w:t xml:space="preserve">Bölüm 5’teki talimatları standart tutun; ihaleden ihaleye değişen her şeyi buraya yazın. İstekliler değişkenleri tek bir yerde bulur.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Teklif para birimi ve kur esası</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Incoterms 2020 kuralı ve belirtilen yer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Teklif geçerlilik süresi (gün)</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Geçici teminat tutarı veya teminat yerine geçen beyan (varsa)</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Fiyat esası: sabit veya endeks formülü (şablon 32)</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Dil ve teklif verme yöntemi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Karar yöntemi ve ağırlıklar (bölüm 7)</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Aşırı düşük teklif eşiği (ör. ihale öncesi yaklaşık maliyetin yüzde [20]’sinden fazla altında)</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4. Takvim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782"/>
        <w:gridCol w:w="3856"/>
      </w:tblGrid>
      <w:tr>
        <w:trPr>
          <w:cantSplit/>
          <w:tblHeader/>
        </w:trPr>
        <w:tc>
          <w:tcPr>
            <w:tcW w:type="dxa" w:w="5782"/>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Faaliyet</w:t>
            </w:r>
          </w:p>
        </w:tc>
        <w:tc>
          <w:tcPr>
            <w:tcW w:type="dxa" w:w="3856"/>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Tarih ve saat</w:t>
            </w:r>
          </w:p>
        </w:tc>
      </w:tr>
      <w:tr>
        <w:trPr>
          <w:cantSplit/>
          <w:tblHeader w:val="false"/>
          <w:trHeight w:val="360" w:hRule="atLeast"/>
        </w:trPr>
        <w:tc>
          <w:tcPr>
            <w:tcW w:type="dxa" w:w="578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İhale dokümanlarının gönderimi</w:t>
            </w:r>
          </w:p>
        </w:tc>
        <w:tc>
          <w:tcPr>
            <w:tcW w:type="dxa" w:w="38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578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İstekliler toplantısı veya yer görme (isteğe bağlı)</w:t>
            </w:r>
          </w:p>
        </w:tc>
        <w:tc>
          <w:tcPr>
            <w:tcW w:type="dxa" w:w="38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578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Açıklama soruları için son tarih</w:t>
            </w:r>
          </w:p>
        </w:tc>
        <w:tc>
          <w:tcPr>
            <w:tcW w:type="dxa" w:w="38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578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Yanıtların tüm isteklilere gönderimi</w:t>
            </w:r>
          </w:p>
        </w:tc>
        <w:tc>
          <w:tcPr>
            <w:tcW w:type="dxa" w:w="38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578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Son teklif verme tarihi</w:t>
            </w:r>
          </w:p>
        </w:tc>
        <w:tc>
          <w:tcPr>
            <w:tcW w:type="dxa" w:w="38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578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Sunum veya müzakereler (gerekirse)</w:t>
            </w:r>
          </w:p>
        </w:tc>
        <w:tc>
          <w:tcPr>
            <w:tcW w:type="dxa" w:w="38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578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Öngörülen karar tarihi</w:t>
            </w:r>
          </w:p>
        </w:tc>
        <w:tc>
          <w:tcPr>
            <w:tcW w:type="dxa" w:w="38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578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Sözleşme başlangıcı</w:t>
            </w:r>
          </w:p>
        </w:tc>
        <w:tc>
          <w:tcPr>
            <w:tcW w:type="dxa" w:w="38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5. İsteklilere talimatlar</w:t>
      </w:r>
    </w:p>
    <w:p>
      <w:pPr>
        <w:pStyle w:val="ListParagraph"/>
        <w:numPr>
          <w:ilvl w:val="0"/>
          <w:numId w:val="2"/>
        </w:numPr>
        <w:spacing w:after="40" w:before="20" w:line="276"/>
      </w:pPr>
      <w:r>
        <w:rPr>
          <w:rFonts w:ascii="Arial" w:cs="Arial" w:eastAsia="Arial" w:hAnsi="Arial"/>
          <w:color w:val="1C1917"/>
          <w:sz w:val="20"/>
          <w:szCs w:val="20"/>
        </w:rPr>
        <w:t xml:space="preserve">Bu ihaleyle ilgili tüm yazışmalar belirtilen kişi üzerinden yapılmalıdır: [ad, e-posta]. İhale hakkında diğer personelle temas değerlendirme dışı bırakılmaya yol açabilir.</w:t>
      </w:r>
    </w:p>
    <w:p>
      <w:pPr>
        <w:pStyle w:val="ListParagraph"/>
        <w:numPr>
          <w:ilvl w:val="0"/>
          <w:numId w:val="2"/>
        </w:numPr>
        <w:spacing w:after="40" w:before="20" w:line="276"/>
      </w:pPr>
      <w:r>
        <w:rPr>
          <w:rFonts w:ascii="Arial" w:cs="Arial" w:eastAsia="Arial" w:hAnsi="Arial"/>
          <w:color w:val="1C1917"/>
          <w:sz w:val="20"/>
          <w:szCs w:val="20"/>
        </w:rPr>
        <w:t xml:space="preserve">Teklifler [dil] olarak, [yöntem, ör. özel e-posta adresi veya e-ihale portalı] üzerinden verilmelidir. Süresinden sonra gelen teklifler değerlendirilmez.</w:t>
      </w:r>
    </w:p>
    <w:p>
      <w:pPr>
        <w:pStyle w:val="ListParagraph"/>
        <w:numPr>
          <w:ilvl w:val="0"/>
          <w:numId w:val="2"/>
        </w:numPr>
        <w:spacing w:after="40" w:before="20" w:line="276"/>
      </w:pPr>
      <w:r>
        <w:rPr>
          <w:rFonts w:ascii="Arial" w:cs="Arial" w:eastAsia="Arial" w:hAnsi="Arial"/>
          <w:color w:val="1C1917"/>
          <w:sz w:val="20"/>
          <w:szCs w:val="20"/>
        </w:rPr>
        <w:t xml:space="preserve">Teklifler son teklif verme tarihinden itibaren [120] gün geçerli olmalıdır.</w:t>
      </w:r>
    </w:p>
    <w:p>
      <w:pPr>
        <w:pStyle w:val="ListParagraph"/>
        <w:numPr>
          <w:ilvl w:val="0"/>
          <w:numId w:val="2"/>
        </w:numPr>
        <w:spacing w:after="40" w:before="20" w:line="276"/>
      </w:pPr>
      <w:r>
        <w:rPr>
          <w:rFonts w:ascii="Arial" w:cs="Arial" w:eastAsia="Arial" w:hAnsi="Arial"/>
          <w:color w:val="1C1917"/>
          <w:sz w:val="20"/>
          <w:szCs w:val="20"/>
        </w:rPr>
        <w:t xml:space="preserve">İstekliler fiyatlarını diğer isteklilerle görüşemez veya kararlaştıramaz. Danışıklı davranışa dair her işaret değerlendirme dışı bırakılmaya yol açar.</w:t>
      </w:r>
    </w:p>
    <w:p>
      <w:pPr>
        <w:pStyle w:val="ListParagraph"/>
        <w:numPr>
          <w:ilvl w:val="0"/>
          <w:numId w:val="2"/>
        </w:numPr>
        <w:spacing w:after="40" w:before="20" w:line="276"/>
      </w:pPr>
      <w:r>
        <w:rPr>
          <w:rFonts w:ascii="Arial" w:cs="Arial" w:eastAsia="Arial" w:hAnsi="Arial"/>
          <w:color w:val="1C1917"/>
          <w:sz w:val="20"/>
          <w:szCs w:val="20"/>
        </w:rPr>
        <w:t xml:space="preserve">Alternatif teklifler [kabul edilmez] [yalnızca şartnameye uygun bir teklife ek olarak kabul edilir].</w:t>
      </w:r>
    </w:p>
    <w:p>
      <w:pPr>
        <w:pStyle w:val="ListParagraph"/>
        <w:numPr>
          <w:ilvl w:val="0"/>
          <w:numId w:val="2"/>
        </w:numPr>
        <w:spacing w:after="40" w:before="20" w:line="276"/>
      </w:pPr>
      <w:r>
        <w:rPr>
          <w:rFonts w:ascii="Arial" w:cs="Arial" w:eastAsia="Arial" w:hAnsi="Arial"/>
          <w:color w:val="1C1917"/>
          <w:sz w:val="20"/>
          <w:szCs w:val="20"/>
        </w:rPr>
        <w:t xml:space="preserve">Alıcı tekliflerle ilgili açıklama isteyebilir; ancak bu dokümanda ilan edilmiş bir müzakere aşaması dışında, son tarihten sonra fiyatın veya teklifin esasının değiştirilmesine izin vermez.</w:t>
      </w:r>
    </w:p>
    <w:p>
      <w:pPr>
        <w:pStyle w:val="ListParagraph"/>
        <w:numPr>
          <w:ilvl w:val="0"/>
          <w:numId w:val="2"/>
        </w:numPr>
        <w:spacing w:after="40" w:before="20" w:line="276"/>
      </w:pPr>
      <w:r>
        <w:rPr>
          <w:rFonts w:ascii="Arial" w:cs="Arial" w:eastAsia="Arial" w:hAnsi="Arial"/>
          <w:color w:val="1C1917"/>
          <w:sz w:val="20"/>
          <w:szCs w:val="20"/>
        </w:rPr>
        <w:t xml:space="preserve">Alıcı en düşük veya herhangi bir teklifi kabul etmekle yükümlü değildir; gerekçesini tüm isteklilere bildirerek süreci iptal edebilir.</w:t>
      </w:r>
    </w:p>
    <w:p>
      <w:pPr>
        <w:pStyle w:val="ListParagraph"/>
        <w:numPr>
          <w:ilvl w:val="0"/>
          <w:numId w:val="2"/>
        </w:numPr>
        <w:spacing w:after="40" w:before="20" w:line="276"/>
      </w:pPr>
      <w:r>
        <w:rPr>
          <w:rFonts w:ascii="Arial" w:cs="Arial" w:eastAsia="Arial" w:hAnsi="Arial"/>
          <w:color w:val="1C1917"/>
          <w:sz w:val="20"/>
          <w:szCs w:val="20"/>
        </w:rPr>
        <w:t xml:space="preserve">İstekliler, yapay zekâ araçlarıyla hazırlanmış içerik dahil, tekliflerindeki her bilginin doğruluğundan sorumludur.</w:t>
      </w:r>
    </w:p>
    <w:p>
      <w:pPr>
        <w:pStyle w:val="ListParagraph"/>
        <w:numPr>
          <w:ilvl w:val="0"/>
          <w:numId w:val="2"/>
        </w:numPr>
        <w:spacing w:after="40" w:before="20" w:line="276"/>
      </w:pPr>
      <w:r>
        <w:rPr>
          <w:rFonts w:ascii="Arial" w:cs="Arial" w:eastAsia="Arial" w:hAnsi="Arial"/>
          <w:color w:val="1C1917"/>
          <w:sz w:val="20"/>
          <w:szCs w:val="20"/>
        </w:rPr>
        <w:t xml:space="preserve">Alıcı, tekliflerin analizinde onaylı yapay zekâ araçlarından destek alabilir. Teklif bilgileri gizli veri için onaylanmamış araçlara girilmez; tüm puanlama ve karar değerlendirme kurulu tarafından yapılır.</w:t>
      </w:r>
    </w:p>
    <w:p>
      <w:pPr>
        <w:keepNext/>
        <w:pBdr>
          <w:bottom w:val="single" w:color="A16207" w:sz="6" w:space="4"/>
        </w:pBdr>
        <w:spacing w:after="120" w:before="320"/>
      </w:pPr>
      <w:r>
        <w:rPr>
          <w:rFonts w:ascii="Georgia" w:cs="Georgia" w:eastAsia="Georgia" w:hAnsi="Georgia"/>
          <w:b/>
          <w:bCs/>
          <w:color w:val="1C1917"/>
          <w:sz w:val="28"/>
          <w:szCs w:val="28"/>
        </w:rPr>
        <w:t xml:space="preserve">6. Teklifin yapısı</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56"/>
        <w:gridCol w:w="5590"/>
        <w:gridCol w:w="2892"/>
      </w:tblGrid>
      <w:tr>
        <w:trPr>
          <w:cantSplit/>
          <w:tblHeader/>
        </w:trPr>
        <w:tc>
          <w:tcPr>
            <w:tcW w:type="dxa" w:w="1156"/>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Bölüm</w:t>
            </w:r>
          </w:p>
        </w:tc>
        <w:tc>
          <w:tcPr>
            <w:tcW w:type="dxa" w:w="5590"/>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İçerik</w:t>
            </w:r>
          </w:p>
        </w:tc>
        <w:tc>
          <w:tcPr>
            <w:tcW w:type="dxa" w:w="2892"/>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Sayfa sınırı</w:t>
            </w:r>
          </w:p>
        </w:tc>
      </w:tr>
      <w:tr>
        <w:trPr>
          <w:cantSplit/>
          <w:tblHeader w:val="false"/>
          <w:trHeight w:val="360" w:hRule="atLeast"/>
        </w:trPr>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w:t>
            </w:r>
          </w:p>
        </w:tc>
        <w:tc>
          <w:tcPr>
            <w:tcW w:type="dxa" w:w="559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Yönetici özeti</w:t>
            </w:r>
          </w:p>
        </w:tc>
        <w:tc>
          <w:tcPr>
            <w:tcW w:type="dxa" w:w="289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2 sayfa</w:t>
            </w:r>
          </w:p>
        </w:tc>
      </w:tr>
      <w:tr>
        <w:trPr>
          <w:cantSplit/>
          <w:tblHeader w:val="false"/>
          <w:trHeight w:val="360" w:hRule="atLeast"/>
        </w:trPr>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2</w:t>
            </w:r>
          </w:p>
        </w:tc>
        <w:tc>
          <w:tcPr>
            <w:tcW w:type="dxa" w:w="559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Bölüm B’deki her gereksinime karşı uygunluk tablosu</w:t>
            </w:r>
          </w:p>
        </w:tc>
        <w:tc>
          <w:tcPr>
            <w:tcW w:type="dxa" w:w="289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Tablo</w:t>
            </w:r>
          </w:p>
        </w:tc>
      </w:tr>
      <w:tr>
        <w:trPr>
          <w:cantSplit/>
          <w:tblHeader w:val="false"/>
          <w:trHeight w:val="360" w:hRule="atLeast"/>
        </w:trPr>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3</w:t>
            </w:r>
          </w:p>
        </w:tc>
        <w:tc>
          <w:tcPr>
            <w:tcW w:type="dxa" w:w="559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Teknik çözüm ve yöntem</w:t>
            </w:r>
          </w:p>
        </w:tc>
        <w:tc>
          <w:tcPr>
            <w:tcW w:type="dxa" w:w="289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[10] sayfa</w:t>
            </w:r>
          </w:p>
        </w:tc>
      </w:tr>
      <w:tr>
        <w:trPr>
          <w:cantSplit/>
          <w:tblHeader w:val="false"/>
          <w:trHeight w:val="360" w:hRule="atLeast"/>
        </w:trPr>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4</w:t>
            </w:r>
          </w:p>
        </w:tc>
        <w:tc>
          <w:tcPr>
            <w:tcW w:type="dxa" w:w="559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Proje planı, kaynaklar ve kilit personel</w:t>
            </w:r>
          </w:p>
        </w:tc>
        <w:tc>
          <w:tcPr>
            <w:tcW w:type="dxa" w:w="289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[5] sayfa</w:t>
            </w:r>
          </w:p>
        </w:tc>
      </w:tr>
      <w:tr>
        <w:trPr>
          <w:cantSplit/>
          <w:tblHeader w:val="false"/>
          <w:trHeight w:val="360" w:hRule="atLeast"/>
        </w:trPr>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5</w:t>
            </w:r>
          </w:p>
        </w:tc>
        <w:tc>
          <w:tcPr>
            <w:tcW w:type="dxa" w:w="559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Kalite, iş sağlığı ve güvenliği ve çevre yönetimi; tedarik dayanıklılığı ve süreklilik</w:t>
            </w:r>
          </w:p>
        </w:tc>
        <w:tc>
          <w:tcPr>
            <w:tcW w:type="dxa" w:w="289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[4] sayfa</w:t>
            </w:r>
          </w:p>
        </w:tc>
      </w:tr>
      <w:tr>
        <w:trPr>
          <w:cantSplit/>
          <w:tblHeader w:val="false"/>
          <w:trHeight w:val="360" w:hRule="atLeast"/>
        </w:trPr>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6</w:t>
            </w:r>
          </w:p>
        </w:tc>
        <w:tc>
          <w:tcPr>
            <w:tcW w:type="dxa" w:w="559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Fiyat cetveli (Bölüm C)</w:t>
            </w:r>
          </w:p>
        </w:tc>
        <w:tc>
          <w:tcPr>
            <w:tcW w:type="dxa" w:w="289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Şablon</w:t>
            </w:r>
          </w:p>
        </w:tc>
      </w:tr>
      <w:tr>
        <w:trPr>
          <w:cantSplit/>
          <w:tblHeader w:val="false"/>
          <w:trHeight w:val="360" w:hRule="atLeast"/>
        </w:trPr>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7</w:t>
            </w:r>
          </w:p>
        </w:tc>
        <w:tc>
          <w:tcPr>
            <w:tcW w:type="dxa" w:w="559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Beyanlar (Bölüm E) ve Bölüm D’ye istisnalar</w:t>
            </w:r>
          </w:p>
        </w:tc>
        <w:tc>
          <w:tcPr>
            <w:tcW w:type="dxa" w:w="289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Formlar</w:t>
            </w: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7. Değerlendirme</w:t>
      </w:r>
    </w:p>
    <w:p>
      <w:pPr>
        <w:spacing w:after="100" w:before="60" w:line="276"/>
      </w:pPr>
      <w:r>
        <w:rPr>
          <w:rFonts w:ascii="Arial" w:cs="Arial" w:eastAsia="Arial" w:hAnsi="Arial"/>
          <w:color w:val="1C1917"/>
          <w:sz w:val="20"/>
          <w:szCs w:val="20"/>
        </w:rPr>
        <w:t xml:space="preserve">Değerlendirme üç adımda yapılacaktır. Yalnızca bir adımı geçen teklifler bir sonrakine ilerler.</w:t>
      </w:r>
    </w:p>
    <w:p>
      <w:pPr>
        <w:pStyle w:val="ListParagraph"/>
        <w:numPr>
          <w:ilvl w:val="0"/>
          <w:numId w:val="3"/>
        </w:numPr>
        <w:spacing w:after="40" w:before="20" w:line="276"/>
      </w:pPr>
      <w:r>
        <w:rPr>
          <w:rFonts w:ascii="Arial" w:cs="Arial" w:eastAsia="Arial" w:hAnsi="Arial"/>
          <w:b/>
          <w:bCs/>
          <w:color w:val="1C1917"/>
          <w:sz w:val="20"/>
          <w:szCs w:val="20"/>
        </w:rPr>
        <w:t xml:space="preserve">Uygunluk kontrolü.</w:t>
      </w:r>
      <w:r>
        <w:rPr>
          <w:rFonts w:ascii="Arial" w:cs="Arial" w:eastAsia="Arial" w:hAnsi="Arial"/>
          <w:color w:val="1C1917"/>
          <w:sz w:val="20"/>
          <w:szCs w:val="20"/>
        </w:rPr>
        <w:t xml:space="preserve"> Teklif süresinde, eksiksiz ve imzalı olarak alınmış; zorunlu gereksinimler karşılanmış; beyanlar kabul edilebilir.</w:t>
      </w:r>
    </w:p>
    <w:p>
      <w:pPr>
        <w:pStyle w:val="ListParagraph"/>
        <w:numPr>
          <w:ilvl w:val="0"/>
          <w:numId w:val="3"/>
        </w:numPr>
        <w:spacing w:after="40" w:before="20" w:line="276"/>
      </w:pPr>
      <w:r>
        <w:rPr>
          <w:rFonts w:ascii="Arial" w:cs="Arial" w:eastAsia="Arial" w:hAnsi="Arial"/>
          <w:b/>
          <w:bCs/>
          <w:color w:val="1C1917"/>
          <w:sz w:val="20"/>
          <w:szCs w:val="20"/>
        </w:rPr>
        <w:t xml:space="preserve">Kalite değerlendirmesi.</w:t>
      </w:r>
      <w:r>
        <w:rPr>
          <w:rFonts w:ascii="Arial" w:cs="Arial" w:eastAsia="Arial" w:hAnsi="Arial"/>
          <w:color w:val="1C1917"/>
          <w:sz w:val="20"/>
          <w:szCs w:val="20"/>
        </w:rPr>
        <w:t xml:space="preserve"> Kurul tarafından aşağıdaki kriterlere ve puanlama ölçeğine göre puanlanır.</w:t>
      </w:r>
    </w:p>
    <w:p>
      <w:pPr>
        <w:pStyle w:val="ListParagraph"/>
        <w:numPr>
          <w:ilvl w:val="0"/>
          <w:numId w:val="3"/>
        </w:numPr>
        <w:spacing w:after="40" w:before="20" w:line="276"/>
      </w:pPr>
      <w:r>
        <w:rPr>
          <w:rFonts w:ascii="Arial" w:cs="Arial" w:eastAsia="Arial" w:hAnsi="Arial"/>
          <w:b/>
          <w:bCs/>
          <w:color w:val="1C1917"/>
          <w:sz w:val="20"/>
          <w:szCs w:val="20"/>
        </w:rPr>
        <w:t xml:space="preserve">Fiyat değerlendirmesi.</w:t>
      </w:r>
      <w:r>
        <w:rPr>
          <w:rFonts w:ascii="Arial" w:cs="Arial" w:eastAsia="Arial" w:hAnsi="Arial"/>
          <w:color w:val="1C1917"/>
          <w:sz w:val="20"/>
          <w:szCs w:val="20"/>
        </w:rPr>
        <w:t xml:space="preserve"> [Yaşam boyu maliyet unsurları] dahil toplam değerlendirilen fiyat; en düşük fiyatın teklif fiyatına bölünüp fiyat ağırlığıyla çarpılmasıyla puanlanır.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1445"/>
        <w:gridCol w:w="3374"/>
      </w:tblGrid>
      <w:tr>
        <w:trPr>
          <w:cantSplit/>
          <w:tblHeader/>
        </w:trPr>
        <w:tc>
          <w:tcPr>
            <w:tcW w:type="dxa" w:w="4819"/>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Kriter</w:t>
            </w:r>
          </w:p>
        </w:tc>
        <w:tc>
          <w:tcPr>
            <w:tcW w:type="dxa" w:w="1445"/>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Ağırlık</w:t>
            </w:r>
          </w:p>
        </w:tc>
        <w:tc>
          <w:tcPr>
            <w:tcW w:type="dxa" w:w="3374"/>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Kurulun bakacağı noktalar</w:t>
            </w:r>
          </w:p>
        </w:tc>
      </w:tr>
      <w:tr>
        <w:trPr>
          <w:cantSplit/>
          <w:tblHeader w:val="false"/>
          <w:trHeight w:val="360" w:hRule="atLeast"/>
        </w:trPr>
        <w:tc>
          <w:tcPr>
            <w:tcW w:type="dxa" w:w="481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Teknik çözüm</w:t>
            </w: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[%25]</w:t>
            </w:r>
          </w:p>
        </w:tc>
        <w:tc>
          <w:tcPr>
            <w:tcW w:type="dxa" w:w="337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Sonuca uygunluk, sağlamlık, risk</w:t>
            </w:r>
          </w:p>
        </w:tc>
      </w:tr>
      <w:tr>
        <w:trPr>
          <w:cantSplit/>
          <w:tblHeader w:val="false"/>
          <w:trHeight w:val="360" w:hRule="atLeast"/>
        </w:trPr>
        <w:tc>
          <w:tcPr>
            <w:tcW w:type="dxa" w:w="481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Teslim ve uygulama planı</w:t>
            </w: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[%10]</w:t>
            </w:r>
          </w:p>
        </w:tc>
        <w:tc>
          <w:tcPr>
            <w:tcW w:type="dxa" w:w="337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Gerçekçi takvim, kaynaklar</w:t>
            </w:r>
          </w:p>
        </w:tc>
      </w:tr>
      <w:tr>
        <w:trPr>
          <w:cantSplit/>
          <w:tblHeader w:val="false"/>
          <w:trHeight w:val="360" w:hRule="atLeast"/>
        </w:trPr>
        <w:tc>
          <w:tcPr>
            <w:tcW w:type="dxa" w:w="481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Tedarik dayanıklılığı</w:t>
            </w: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[%5]</w:t>
            </w:r>
          </w:p>
        </w:tc>
        <w:tc>
          <w:tcPr>
            <w:tcW w:type="dxa" w:w="337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İkinci tesis, alt kademe görünürlüğü, güzergâh alternatifleri</w:t>
            </w:r>
          </w:p>
        </w:tc>
      </w:tr>
      <w:tr>
        <w:trPr>
          <w:cantSplit/>
          <w:tblHeader w:val="false"/>
          <w:trHeight w:val="360" w:hRule="atLeast"/>
        </w:trPr>
        <w:tc>
          <w:tcPr>
            <w:tcW w:type="dxa" w:w="481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Kalite ve satış sonrası destek</w:t>
            </w: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[%10]</w:t>
            </w:r>
          </w:p>
        </w:tc>
        <w:tc>
          <w:tcPr>
            <w:tcW w:type="dxa" w:w="337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Garanti, hizmet düzeyleri, yedek parça</w:t>
            </w:r>
          </w:p>
        </w:tc>
      </w:tr>
      <w:tr>
        <w:trPr>
          <w:cantSplit/>
          <w:tblHeader w:val="false"/>
          <w:trHeight w:val="360" w:hRule="atLeast"/>
        </w:trPr>
        <w:tc>
          <w:tcPr>
            <w:tcW w:type="dxa" w:w="481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Sürdürülebilirlik</w:t>
            </w: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[%5]</w:t>
            </w:r>
          </w:p>
        </w:tc>
        <w:tc>
          <w:tcPr>
            <w:tcW w:type="dxa" w:w="337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Somut, ölçülebilir taahhütler</w:t>
            </w:r>
          </w:p>
        </w:tc>
      </w:tr>
      <w:tr>
        <w:trPr>
          <w:cantSplit/>
          <w:tblHeader w:val="false"/>
          <w:trHeight w:val="360" w:hRule="atLeast"/>
        </w:trPr>
        <w:tc>
          <w:tcPr>
            <w:tcW w:type="dxa" w:w="481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Fiyat (toplam değerlendirilen)</w:t>
            </w: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[%45]</w:t>
            </w:r>
          </w:p>
        </w:tc>
        <w:tc>
          <w:tcPr>
            <w:tcW w:type="dxa" w:w="337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Yukarıdaki formül</w:t>
            </w:r>
          </w:p>
        </w:tc>
      </w:tr>
    </w:tbl>
    <w:p>
      <w:pPr>
        <w:spacing w:after="60" w:before="0" w:line="276"/>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56"/>
        <w:gridCol w:w="8482"/>
      </w:tblGrid>
      <w:tr>
        <w:trPr>
          <w:cantSplit/>
          <w:tblHeader/>
        </w:trPr>
        <w:tc>
          <w:tcPr>
            <w:tcW w:type="dxa" w:w="1156"/>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Puan</w:t>
            </w:r>
          </w:p>
        </w:tc>
        <w:tc>
          <w:tcPr>
            <w:tcW w:type="dxa" w:w="8482"/>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Kalite kriterleri için puanlama ölçeği</w:t>
            </w:r>
          </w:p>
        </w:tc>
      </w:tr>
      <w:tr>
        <w:trPr>
          <w:cantSplit/>
          <w:tblHeader w:val="false"/>
          <w:trHeight w:val="360" w:hRule="atLeast"/>
        </w:trPr>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0</w:t>
            </w:r>
          </w:p>
        </w:tc>
        <w:tc>
          <w:tcPr>
            <w:tcW w:type="dxa" w:w="848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Yanıt yok veya yanıt kriteri karşılamıyor.</w:t>
            </w:r>
          </w:p>
        </w:tc>
      </w:tr>
      <w:tr>
        <w:trPr>
          <w:cantSplit/>
          <w:tblHeader w:val="false"/>
          <w:trHeight w:val="360" w:hRule="atLeast"/>
        </w:trPr>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w:t>
            </w:r>
          </w:p>
        </w:tc>
        <w:tc>
          <w:tcPr>
            <w:tcW w:type="dxa" w:w="848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Önemli eksikler veya kaygılar; az kanıt.</w:t>
            </w:r>
          </w:p>
        </w:tc>
      </w:tr>
      <w:tr>
        <w:trPr>
          <w:cantSplit/>
          <w:tblHeader w:val="false"/>
          <w:trHeight w:val="360" w:hRule="atLeast"/>
        </w:trPr>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2</w:t>
            </w:r>
          </w:p>
        </w:tc>
        <w:tc>
          <w:tcPr>
            <w:tcW w:type="dxa" w:w="848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Gereksinimi kısmen karşılıyor; bazı kaygılar.</w:t>
            </w:r>
          </w:p>
        </w:tc>
      </w:tr>
      <w:tr>
        <w:trPr>
          <w:cantSplit/>
          <w:tblHeader w:val="false"/>
          <w:trHeight w:val="360" w:hRule="atLeast"/>
        </w:trPr>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3</w:t>
            </w:r>
          </w:p>
        </w:tc>
        <w:tc>
          <w:tcPr>
            <w:tcW w:type="dxa" w:w="848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Gereksinimi yeterli kanıtla karşılıyor.</w:t>
            </w:r>
          </w:p>
        </w:tc>
      </w:tr>
      <w:tr>
        <w:trPr>
          <w:cantSplit/>
          <w:tblHeader w:val="false"/>
          <w:trHeight w:val="360" w:hRule="atLeast"/>
        </w:trPr>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4</w:t>
            </w:r>
          </w:p>
        </w:tc>
        <w:tc>
          <w:tcPr>
            <w:tcW w:type="dxa" w:w="848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Gereksinimi iyi kanıtla tam karşılıyor ve bir miktar katma değer sunuyor.</w:t>
            </w:r>
          </w:p>
        </w:tc>
      </w:tr>
      <w:tr>
        <w:trPr>
          <w:cantSplit/>
          <w:tblHeader w:val="false"/>
          <w:trHeight w:val="360" w:hRule="atLeast"/>
        </w:trPr>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5</w:t>
            </w:r>
          </w:p>
        </w:tc>
        <w:tc>
          <w:tcPr>
            <w:tcW w:type="dxa" w:w="848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Gereksinimi güçlü kanıtla aşıyor ve açık katma değer sunuyor.</w:t>
            </w:r>
          </w:p>
        </w:tc>
      </w:tr>
    </w:tbl>
    <w:p>
      <w:pPr>
        <w:spacing w:after="60" w:before="0" w:line="276"/>
      </w:pPr>
    </w:p>
    <w:p>
      <w:pPr>
        <w:spacing w:after="100" w:before="60" w:line="276"/>
      </w:pPr>
      <w:r>
        <w:rPr>
          <w:rFonts w:ascii="Arial" w:cs="Arial" w:eastAsia="Arial" w:hAnsi="Arial"/>
          <w:b/>
          <w:bCs/>
          <w:color w:val="1C1917"/>
          <w:sz w:val="20"/>
          <w:szCs w:val="20"/>
        </w:rPr>
        <w:t xml:space="preserve">Aşırı düşük teklifler.</w:t>
      </w:r>
      <w:r>
        <w:rPr>
          <w:rFonts w:ascii="Arial" w:cs="Arial" w:eastAsia="Arial" w:hAnsi="Arial"/>
          <w:color w:val="1C1917"/>
          <w:sz w:val="20"/>
          <w:szCs w:val="20"/>
        </w:rPr>
        <w:t xml:space="preserve"> Teklif fiyatı ihale veri föyündeki eşiğin altında kalırsa Alıcı, istekliden fiyat yapısını ve varsayımlarını yazılı olarak açıklamasını ister. Açıklama sözleşmenin bu fiyatla yerine getirilebileceğini göstermiyorsa teklif reddedilebilir.</w:t>
      </w:r>
    </w:p>
    <w:p>
      <w:pPr>
        <w:pBdr>
          <w:left w:val="single" w:color="A16207" w:sz="18" w:space="8"/>
        </w:pBdr>
        <w:shd w:fill="F0EDE6" w:color="auto" w:val="clear"/>
        <w:spacing w:after="160" w:before="120" w:line="276"/>
        <w:ind w:left="160" w:right="120"/>
      </w:pPr>
      <w:r>
        <w:rPr>
          <w:rFonts w:ascii="Arial" w:cs="Arial" w:eastAsia="Arial" w:hAnsi="Arial"/>
          <w:b/>
          <w:bCs/>
          <w:color w:val="854D0E"/>
          <w:sz w:val="18"/>
          <w:szCs w:val="18"/>
        </w:rPr>
        <w:t xml:space="preserve">Uygulama notu.  </w:t>
      </w:r>
      <w:r>
        <w:rPr>
          <w:rFonts w:ascii="Arial" w:cs="Arial" w:eastAsia="Arial" w:hAnsi="Arial"/>
          <w:color w:val="1C1917"/>
          <w:sz w:val="18"/>
          <w:szCs w:val="18"/>
        </w:rPr>
        <w:t xml:space="preserve">Tüm teklifler yaklaşık maliyeti aşarsa ne yapacağınıza son tarihten önce karar verin. Yanıt müzakere, kapsam değişikliği ya da iptal edip daha geniş bir nitelikli alana yeniden ihale olabilir. Alıcının ihaleyi iptal edebileceğini ve gerekçesini açıkça bildireceğini bu dokümanda yazmak, bu seçeneği adil ve inandırıcı kılar.</w:t>
      </w:r>
    </w:p>
    <w:p>
      <w:pPr>
        <w:keepNext/>
        <w:pBdr>
          <w:bottom w:val="single" w:color="A16207" w:sz="6" w:space="4"/>
        </w:pBdr>
        <w:spacing w:after="120" w:before="320"/>
      </w:pPr>
      <w:r>
        <w:rPr>
          <w:rFonts w:ascii="Georgia" w:cs="Georgia" w:eastAsia="Georgia" w:hAnsi="Georgia"/>
          <w:b/>
          <w:bCs/>
          <w:color w:val="1C1917"/>
          <w:sz w:val="28"/>
          <w:szCs w:val="28"/>
        </w:rPr>
        <w:t xml:space="preserve">8. Karar ve sözleşme</w:t>
      </w:r>
    </w:p>
    <w:p>
      <w:pPr>
        <w:spacing w:after="100" w:before="60" w:line="276"/>
      </w:pPr>
      <w:r>
        <w:rPr>
          <w:rFonts w:ascii="Arial" w:cs="Arial" w:eastAsia="Arial" w:hAnsi="Arial"/>
          <w:color w:val="1C1917"/>
          <w:sz w:val="20"/>
          <w:szCs w:val="20"/>
        </w:rPr>
        <w:t xml:space="preserve">Alıcı sonucu tüm isteklilere aynı anda bildirir. Kazanamayan istekliler kendi puanlarını ve gerekçeleri alır. Sözleşme Bölüm D esas alınarak imzalanır. Bölüm D’de değişiklik öneren istekliler bunları teklifinde listelemelidir; bu değişiklikler değerlendirmeyi etkileyebilir. Sözleşmeden doğan damga vergisinin hangi tarafça ödeneceği Bölüm D’de belirtilir.</w:t>
      </w:r>
    </w:p>
    <w:p>
      <w:pPr>
        <w:keepNext/>
        <w:pBdr>
          <w:bottom w:val="single" w:color="A16207" w:sz="6" w:space="4"/>
        </w:pBdr>
        <w:spacing w:after="120" w:before="320"/>
      </w:pPr>
      <w:r>
        <w:rPr>
          <w:rFonts w:ascii="Georgia" w:cs="Georgia" w:eastAsia="Georgia" w:hAnsi="Georgia"/>
          <w:b/>
          <w:bCs/>
          <w:color w:val="1C1917"/>
          <w:sz w:val="28"/>
          <w:szCs w:val="28"/>
        </w:rPr>
        <w:t xml:space="preserve">9. Gizlilik, etik ve ticari uyum</w:t>
      </w:r>
    </w:p>
    <w:p>
      <w:pPr>
        <w:spacing w:after="100" w:before="60" w:line="276"/>
      </w:pPr>
      <w:r>
        <w:rPr>
          <w:rFonts w:ascii="Arial" w:cs="Arial" w:eastAsia="Arial" w:hAnsi="Arial"/>
          <w:color w:val="1C1917"/>
          <w:sz w:val="20"/>
          <w:szCs w:val="20"/>
        </w:rPr>
        <w:t xml:space="preserve">Alıcı teklifleri gizli tutar. İstekliler Alıcı personeline hediye, ağırlama veya başka herhangi bir menfaat sunamaz. Alıcı, isteklilerin kendi faaliyetlerinde ve tedarik zincirlerinde insan haklarına, rüşvetle mücadele ve çevre mevzuatına uymasını bekler. İstekliler, kendilerinin ve alt tedarikçilerinin yaptırımlara tabi olmadığını, tedarik edilen hiçbir ürünün zorla çalıştırmayla üretilmediğini teyit eder ve Bölüm D gerektiriyorsa kısıtlı varış yerlerine yeniden ihracatı yasaklayan bir maddeyi kabul eder.</w:t>
      </w:r>
    </w:p>
    <w:sectPr>
      <w:headerReference w:type="default" r:id="rId7"/>
      <w:footerReference w:type="default" r:id="rId8"/>
      <w:pgSz w:w="11906" w:h="16838" w:orient="portrait"/>
      <w:pgMar w:top="1134" w:right="1134" w:bottom="1134" w:left="1134"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D3CE" w:sz="4" w:space="4"/>
      </w:pBdr>
    </w:pPr>
    <w:r>
      <w:rPr>
        <w:rFonts w:ascii="Arial" w:cs="Arial" w:eastAsia="Arial" w:hAnsi="Arial"/>
        <w:color w:val="57534E"/>
        <w:sz w:val="15"/>
        <w:szCs w:val="15"/>
      </w:rPr>
      <w:t xml:space="preserve">NSM Sourcing  ·  nsmsourcing.com  ·  </w:t>
    </w:r>
    <w:r>
      <w:rPr>
        <w:rFonts w:ascii="Arial" w:cs="Arial" w:eastAsia="Arial" w:hAnsi="Arial"/>
        <w:color w:val="57534E"/>
        <w:sz w:val="15"/>
        <w:szCs w:val="15"/>
      </w:rPr>
      <w:t xml:space="preserve">CC BY 4.0: NSM Sourcing’e atıf yapılarak serbestçe kullanılabilir ve uyarlanabilir. Genel bir kılavuzdur, hukuki danışmanlık değildir.</w:t>
    </w:r>
  </w:p>
  <w:p>
    <w:pPr>
      <w:jc w:val="right"/>
    </w:pPr>
    <w:r>
      <w:rPr>
        <w:rFonts w:ascii="Arial" w:cs="Arial" w:eastAsia="Arial" w:hAnsi="Arial"/>
        <w:color w:val="57534E"/>
        <w:sz w:val="15"/>
        <w:szCs w:val="15"/>
      </w:rPr>
      <w:t xml:space="preserve">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57534E"/>
        <w:sz w:val="15"/>
        <w:szCs w:val="15"/>
      </w:rPr>
      <w:t xml:space="preserve">NSM-12  İhaleye Davet (ITT / RFP)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abstractNum w:abstractNumId="3" w15:restartNumberingAfterBreak="0">
    <w:multiLevelType w:val="hybridMultilevel"/>
    <w:lvl w:ilvl="0" w15:tentative="1">
      <w:start w:val="1"/>
      <w:numFmt w:val="decimal"/>
      <w:lvlText w:val="%1."/>
      <w:lvlJc w:val="left"/>
      <w:pPr>
        <w:ind w:left="400" w:hanging="300"/>
      </w:pPr>
    </w:lvl>
  </w:abstractNum>
  <w:abstractNum w:abstractNumId="4" w15:restartNumberingAfterBreak="0">
    <w:multiLevelType w:val="hybridMultilevel"/>
    <w:lvl w:ilvl="0" w15:tentative="1">
      <w:start w:val="1"/>
      <w:numFmt w:val="decimal"/>
      <w:lvlText w:val="%1."/>
      <w:lvlJc w:val="left"/>
      <w:pPr>
        <w:ind w:left="400" w:hanging="300"/>
      </w:pPr>
    </w:lvl>
  </w:abstractNum>
  <w:abstractNum w:abstractNumId="5" w15:restartNumberingAfterBreak="0">
    <w:multiLevelType w:val="hybridMultilevel"/>
    <w:lvl w:ilvl="0" w15:tentative="1">
      <w:start w:val="1"/>
      <w:numFmt w:val="decimal"/>
      <w:lvlText w:val="%1."/>
      <w:lvlJc w:val="left"/>
      <w:pPr>
        <w:ind w:left="400" w:hanging="300"/>
      </w:pPr>
    </w:lvl>
  </w:abstractNum>
  <w:abstractNum w:abstractNumId="6"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İhaleye Davet (ITT / RFP)</dc:title>
  <dc:creator>NSM Sourcing</dc:creator>
  <dc:description>Karmaşık veya yüksek tutarlı ihtiyaçlar için resmî ihale dokümanı: talimatlar, takvim, değerlendirme yöntemi ve sözleşme esası.</dc:description>
  <cp:lastModifiedBy>Un-named</cp:lastModifiedBy>
  <cp:revision>1</cp:revision>
  <dcterms:created xsi:type="dcterms:W3CDTF">2026-10-12T12:18:23.315Z</dcterms:created>
  <dcterms:modified xsi:type="dcterms:W3CDTF">2026-10-12T12:18:23.315Z</dcterms:modified>
</cp:coreProperties>
</file>

<file path=docProps/custom.xml><?xml version="1.0" encoding="utf-8"?>
<Properties xmlns="http://schemas.openxmlformats.org/officeDocument/2006/custom-properties" xmlns:vt="http://schemas.openxmlformats.org/officeDocument/2006/docPropsVTypes"/>
</file>