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SATIN ALMA ŞABLONU  NSM-09</w:t>
      </w:r>
    </w:p>
    <w:p>
      <w:pPr>
        <w:spacing w:after="80"/>
      </w:pPr>
      <w:r>
        <w:rPr>
          <w:rFonts w:ascii="Georgia" w:cs="Georgia" w:eastAsia="Georgia" w:hAnsi="Georgia"/>
          <w:b/>
          <w:bCs/>
          <w:color w:val="1C1917"/>
          <w:sz w:val="44"/>
          <w:szCs w:val="44"/>
        </w:rPr>
        <w:t xml:space="preserve">Tedarikçi Ön Yeterlik Anketi</w:t>
      </w:r>
    </w:p>
    <w:p>
      <w:pPr>
        <w:spacing w:after="160" w:before="60" w:line="276"/>
      </w:pPr>
      <w:r>
        <w:rPr>
          <w:rFonts w:ascii="Arial" w:cs="Arial" w:eastAsia="Arial" w:hAnsi="Arial"/>
          <w:color w:val="57534E"/>
          <w:sz w:val="22"/>
          <w:szCs w:val="22"/>
        </w:rPr>
        <w:t xml:space="preserve">İhale öncesi tedarikçi değerlendirmesi: tedarikçinin katılıma uygun, finansal olarak sağlam ve teknik olarak yetkin olduğunu teyit eder.</w:t>
      </w:r>
    </w:p>
    <w:p>
      <w:pPr>
        <w:pBdr>
          <w:bottom w:val="single" w:color="D6D3CE" w:sz="4" w:space="6"/>
        </w:pBdr>
        <w:spacing w:after="200"/>
      </w:pPr>
      <w:r>
        <w:rPr>
          <w:rFonts w:ascii="Arial" w:cs="Arial" w:eastAsia="Arial" w:hAnsi="Arial"/>
          <w:b/>
          <w:bCs/>
          <w:color w:val="1C1917"/>
          <w:sz w:val="18"/>
          <w:szCs w:val="18"/>
        </w:rPr>
        <w:t xml:space="preserve">Satın alma ve tedarik döngüsü aşaması: </w:t>
      </w:r>
      <w:r>
        <w:rPr>
          <w:rFonts w:ascii="Arial" w:cs="Arial" w:eastAsia="Arial" w:hAnsi="Arial"/>
          <w:color w:val="57534E"/>
          <w:sz w:val="18"/>
          <w:szCs w:val="18"/>
        </w:rPr>
        <w:t xml:space="preserve">Kriterler</w:t>
      </w:r>
    </w:p>
    <w:p>
      <w:pPr>
        <w:spacing w:after="80" w:before="120"/>
      </w:pPr>
      <w:r>
        <w:rPr>
          <w:rFonts w:ascii="Georgia" w:cs="Georgia" w:eastAsia="Georgia" w:hAnsi="Georgia"/>
          <w:b/>
          <w:bCs/>
          <w:color w:val="1C1917"/>
          <w:sz w:val="24"/>
          <w:szCs w:val="24"/>
        </w:rPr>
        <w:t xml:space="preserve">Bu şablon nasıl kullanılır</w:t>
      </w:r>
    </w:p>
    <w:p>
      <w:pPr>
        <w:pStyle w:val="ListParagraph"/>
        <w:numPr>
          <w:ilvl w:val="0"/>
          <w:numId w:val="2"/>
        </w:numPr>
        <w:spacing w:after="30" w:before="10" w:line="276"/>
      </w:pPr>
      <w:r>
        <w:rPr>
          <w:rFonts w:ascii="Arial" w:cs="Arial" w:eastAsia="Arial" w:hAnsi="Arial"/>
          <w:color w:val="57534E"/>
          <w:sz w:val="19"/>
          <w:szCs w:val="19"/>
        </w:rPr>
        <w:t xml:space="preserve">Anketi göndermeden önce geçme notlarını ve puanlamayı belirleyin; tedarikçilere nasıl değerlendirileceklerini bildirin.</w:t>
      </w:r>
    </w:p>
    <w:p>
      <w:pPr>
        <w:pStyle w:val="ListParagraph"/>
        <w:numPr>
          <w:ilvl w:val="0"/>
          <w:numId w:val="2"/>
        </w:numPr>
        <w:spacing w:after="30" w:before="10" w:line="276"/>
      </w:pPr>
      <w:r>
        <w:rPr>
          <w:rFonts w:ascii="Arial" w:cs="Arial" w:eastAsia="Arial" w:hAnsi="Arial"/>
          <w:color w:val="57534E"/>
          <w:sz w:val="19"/>
          <w:szCs w:val="19"/>
        </w:rPr>
        <w:t xml:space="preserve">Yalnızca değerlendireceğiniz bilgiyi isteyin. Her soru “geçti/kaldı”, “puanlanır” veya “bilgi amaçlı” olarak işaretlenmelidir.</w:t>
      </w:r>
    </w:p>
    <w:p>
      <w:pPr>
        <w:pStyle w:val="ListParagraph"/>
        <w:numPr>
          <w:ilvl w:val="0"/>
          <w:numId w:val="2"/>
        </w:numPr>
        <w:spacing w:after="30" w:before="10" w:line="276"/>
      </w:pPr>
      <w:r>
        <w:rPr>
          <w:rFonts w:ascii="Arial" w:cs="Arial" w:eastAsia="Arial" w:hAnsi="Arial"/>
          <w:color w:val="57534E"/>
          <w:sz w:val="19"/>
          <w:szCs w:val="19"/>
        </w:rPr>
        <w:t xml:space="preserve">Yüksek riskli tedarikçilerde önemli yanıtları şablon 10 (Tedarikçi Yerinde Denetim Listesi) ile yerinde doğrulayın.</w:t>
      </w:r>
    </w:p>
    <w:p>
      <w:pPr>
        <w:keepNext/>
        <w:pBdr>
          <w:bottom w:val="single" w:color="A16207" w:sz="6" w:space="4"/>
        </w:pBdr>
        <w:spacing w:after="120" w:before="320"/>
      </w:pPr>
      <w:r>
        <w:rPr>
          <w:rFonts w:ascii="Georgia" w:cs="Georgia" w:eastAsia="Georgia" w:hAnsi="Georgia"/>
          <w:b/>
          <w:bCs/>
          <w:color w:val="1C1917"/>
          <w:sz w:val="28"/>
          <w:szCs w:val="28"/>
        </w:rPr>
        <w:t xml:space="preserve">Doküman kontrolü</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Kurum</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Referans numarası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Sürüm ve tarih</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Hazırlayan (ad, görev)</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Gözden geçiren ve onaylayan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Gizlilik derecesi (ör. kurum içi, gizli)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Tedarikçilere talimatlar</w:t>
      </w:r>
    </w:p>
    <w:p>
      <w:pPr>
        <w:spacing w:after="100" w:before="60" w:line="276"/>
      </w:pPr>
      <w:r>
        <w:rPr>
          <w:rFonts w:ascii="Arial" w:cs="Arial" w:eastAsia="Arial" w:hAnsi="Arial"/>
          <w:color w:val="1C1917"/>
          <w:sz w:val="20"/>
          <w:szCs w:val="20"/>
        </w:rPr>
        <w:t xml:space="preserve">Lütfen tüm bölümleri doldurun. Bir soru sizin için geçerli değilse “uygulanmaz” yazın ve nedenini açıklayın. İstenen belgeleri ekleyin. [Kurum adı] herhangi bir yanıtı yerinde ziyaret dahil doğrulayabilir ve yanıltıcı bilgi veren tedarikçiyi değerlendirme dışı bırakabilir.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Son teslim tarihi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Gönderilecek kişi (ad, e-posta)</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Değerlendirme yöntemi ve geçme notu</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2. Firma bilgileri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Ticaret unvanı ve sicil numarası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Vergi dairesi ve numarası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Merkez adresi ve üretim tesisleri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Ortaklık yapısı ve ana şirket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Yüzde 25 veya daha fazla paya sahip gerçek faydalanıcılar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Bu anket için ilgili kişi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Bu ürün veya hizmette faaliyet süresi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Uygunluk ve etik (geçti/kaldı)</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1445"/>
        <w:gridCol w:w="1447"/>
      </w:tblGrid>
      <w:tr>
        <w:trPr>
          <w:cantSplit/>
          <w:tblHeader/>
        </w:trPr>
        <w:tc>
          <w:tcPr>
            <w:tcW w:type="dxa" w:w="674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Beyan</w:t>
            </w:r>
          </w:p>
        </w:tc>
        <w:tc>
          <w:tcPr>
            <w:tcW w:type="dxa" w:w="144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Evet</w:t>
            </w:r>
          </w:p>
        </w:tc>
        <w:tc>
          <w:tcPr>
            <w:tcW w:type="dxa" w:w="144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Hayır</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Firma, yöneticileri veya kilit personeli son beş yılda dolandırıcılık, rüşvet, yolsuzluk veya suç gelirlerinin aklanması nedeniyle mahkûm olmuştur.</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Firma iflas, konkordato veya benzeri bir süreç içindedir.</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Firmanın kesinleşmiş vergi veya sosyal güvenlik prim borcu vardır.</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Firma bu ihtiyaçla ilgili yaptırım veya ihracat kısıtlamasına tabidir.</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Yöneticilerden veya ortaklardan biri [Kurum adı] çalışanlarından biriyle akrabadır. Evet ise ayrıntı verin.</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Firmanın kendi faaliyetlerinde ve tedarik zincirinde zorla çalıştırma ve çocuk işçiliğini önlemeye yönelik yazılı bir politikası vardır.</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Firma, ortakları veya yöneticileri AB, BM, Birleşik Krallık veya ABD yaptırım listelerinde yer almaktadır ya da listedeki bir kişinin sahipliğinde veya kontrolündedir.</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 edilen herhangi bir ürün veya girdi, zorla çalıştırma nedeniyle ithalat yasağı veya alıkoyma kararına tabi bir bölgeden ya da üreticiden gelmektedir.</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Finansal durum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1927"/>
        <w:gridCol w:w="1927"/>
        <w:gridCol w:w="1929"/>
      </w:tblGrid>
      <w:tr>
        <w:trPr>
          <w:cantSplit/>
          <w:tblHeader/>
        </w:trPr>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Gösterge</w:t>
            </w:r>
          </w:p>
        </w:tc>
        <w:tc>
          <w:tcPr>
            <w:tcW w:type="dxa" w:w="192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Yıl 1</w:t>
            </w:r>
          </w:p>
        </w:tc>
        <w:tc>
          <w:tcPr>
            <w:tcW w:type="dxa" w:w="192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Yıl 2</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Yıl 3</w:t>
            </w: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Ciro</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Vergi öncesi kâr</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Cari oran</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Toplam özkaynak</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spacing w:after="100" w:before="60" w:line="276"/>
      </w:pPr>
      <w:r>
        <w:rPr>
          <w:rFonts w:ascii="Arial" w:cs="Arial" w:eastAsia="Arial" w:hAnsi="Arial"/>
          <w:i/>
          <w:iCs/>
          <w:color w:val="57534E"/>
          <w:sz w:val="18"/>
          <w:szCs w:val="18"/>
        </w:rPr>
        <w:t xml:space="preserve">Yaygın bir ölçüt: sözleşmenin yıllık tutarı tedarikçinin cirosunun belirli bir payını (çoğu zaman yüzde 20-30) aşmamalıdır; böylece alıcı, tedarikçi için tehlikeli bir bağımlılığa dönüşmez.</w:t>
      </w:r>
    </w:p>
    <w:p>
      <w:pPr>
        <w:keepNext/>
        <w:pBdr>
          <w:bottom w:val="single" w:color="A16207" w:sz="6" w:space="4"/>
        </w:pBdr>
        <w:spacing w:after="120" w:before="320"/>
      </w:pPr>
      <w:r>
        <w:rPr>
          <w:rFonts w:ascii="Georgia" w:cs="Georgia" w:eastAsia="Georgia" w:hAnsi="Georgia"/>
          <w:b/>
          <w:bCs/>
          <w:color w:val="1C1917"/>
          <w:sz w:val="28"/>
          <w:szCs w:val="28"/>
        </w:rPr>
        <w:t xml:space="preserve">5. Teknik kabiliyet ve kapasite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Bu ihtiyaçla ilgili sunulan ürün veya hizmetler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Üretim veya hizmet kapasitesi ve mevcut doluluk</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Başlıca ekipman ve test imkanları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Tasarım ve mühendislik kaynakları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Fason yaptırılan süreçler ve başlıca alt tedarikçiler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Son üç yıldaki ilgili üç sözleşme (müşteri, tutar, kapsam)</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6. Kalite yönetimi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Kalite belgesi (standart, belgelendirme kuruluşu, geçerlilik)</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Giriş, ara ve son kontrol uygulaması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Malzeme ve partilerin izlenebilirliği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Uygunsuzluk ve düzeltici faaliyet süreci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Başlıca müşterilerde teslimat ve kalite performansı (son 12 ay)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 İş sağlığı ve güvenliği, çevre ve sosyal uygunluk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İSG belgesi veya politikası; iş kazası oranı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Çevre belgesi veya politikası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Ürün veya tesis için mevcut enerji ve karbon verileri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Sosyal uygunluk denetimleri (ör. SMETA, SA8000) ve sonuçları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Bilgi güvenliği kontrolleri (alıcının verisini işleyecekse) veya şablon 28’e verilen yanıtlar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7a. Dayanıklılık ve teknolojinin sorumlu kullanımı</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İş sürekliliği planı, son test tarihi ve alternatif üretim yerleri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Kritik alt kademe kaynaklar ve bulundukları ülkeler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CBAM kapsamındaki mallar için doğrulanmış gömülü emisyon verisi sağlama imkânı (şablon 33)</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Alıcının verisini işleyen yapay zekâ araçlarının kullanımı ve çıktıların nasıl kontrol edildiği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8. Puanlama rehberi (kurum içi kullanım)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6"/>
        <w:gridCol w:w="1349"/>
        <w:gridCol w:w="5013"/>
      </w:tblGrid>
      <w:tr>
        <w:trPr>
          <w:cantSplit/>
          <w:tblHeader/>
        </w:trPr>
        <w:tc>
          <w:tcPr>
            <w:tcW w:type="dxa" w:w="327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Bölüm</w:t>
            </w:r>
          </w:p>
        </w:tc>
        <w:tc>
          <w:tcPr>
            <w:tcW w:type="dxa" w:w="134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Ağırlık</w:t>
            </w:r>
          </w:p>
        </w:tc>
        <w:tc>
          <w:tcPr>
            <w:tcW w:type="dxa" w:w="50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Puanlama esası (0-5)</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 Uygunluk ve etik</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Geçti / kaldı</w:t>
            </w:r>
          </w:p>
        </w:tc>
        <w:tc>
          <w:tcPr>
            <w:tcW w:type="dxa" w:w="50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Dışlama sorularında çözülmemiş herhangi bir “evet” kaldı demektir.</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4. Finansal durum</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Geçti / kaldı</w:t>
            </w:r>
          </w:p>
        </w:tc>
        <w:tc>
          <w:tcPr>
            <w:tcW w:type="dxa" w:w="50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Asgari ciro ve istikrar eşikleri önceden belirlenir.</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 Teknik kabiliyet</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[%35]</w:t>
            </w:r>
          </w:p>
        </w:tc>
        <w:tc>
          <w:tcPr>
            <w:tcW w:type="dxa" w:w="50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 yok, 3 gereksinimi karşılıyor, 5 kanıtla aşıyor.</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6. Kalite yönetimi</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[%35]</w:t>
            </w:r>
          </w:p>
        </w:tc>
        <w:tc>
          <w:tcPr>
            <w:tcW w:type="dxa" w:w="50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Yukarıdaki gibi.</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7. İSG, çevre ve sosyal</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[%15]</w:t>
            </w:r>
          </w:p>
        </w:tc>
        <w:tc>
          <w:tcPr>
            <w:tcW w:type="dxa" w:w="50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Yukarıdaki gibi.</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7a. Dayanıklılık ve teknoloji</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[%15]</w:t>
            </w:r>
          </w:p>
        </w:tc>
        <w:tc>
          <w:tcPr>
            <w:tcW w:type="dxa" w:w="50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Yukarıdaki gibi.</w:t>
            </w: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Tedarikçi değerlendirmesi takvimi yavaşlatmak zorunda değildir. Doküman incelemesini ve yerinde denetimleri kalite ekibiyle art arda değil, paralel yürütmek, yeni bulunan üreticilerin birkaç hafta içinde yeterli kılınıp aynı ihaleye davet edilmesini sağlar.</w:t>
      </w:r>
    </w:p>
    <w:p>
      <w:pPr>
        <w:keepNext/>
        <w:pBdr>
          <w:bottom w:val="single" w:color="A16207" w:sz="6" w:space="4"/>
        </w:pBdr>
        <w:spacing w:after="120" w:before="320"/>
      </w:pPr>
      <w:r>
        <w:rPr>
          <w:rFonts w:ascii="Georgia" w:cs="Georgia" w:eastAsia="Georgia" w:hAnsi="Georgia"/>
          <w:b/>
          <w:bCs/>
          <w:color w:val="1C1917"/>
          <w:sz w:val="28"/>
          <w:szCs w:val="28"/>
        </w:rPr>
        <w:t xml:space="preserve">9. Tedarikçi beyanı</w:t>
      </w:r>
    </w:p>
    <w:p>
      <w:pPr>
        <w:spacing w:after="100" w:before="60" w:line="276"/>
      </w:pPr>
      <w:r>
        <w:rPr>
          <w:rFonts w:ascii="Arial" w:cs="Arial" w:eastAsia="Arial" w:hAnsi="Arial"/>
          <w:color w:val="1C1917"/>
          <w:sz w:val="20"/>
          <w:szCs w:val="20"/>
        </w:rPr>
        <w:t xml:space="preserve">Bu ankette verilen bilgilerin doğru ve eksiksiz olduğunu ve firma adına bu anketi sunmaya yetkili olduğumu beyan ederim.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505"/>
        <w:gridCol w:w="2891"/>
        <w:gridCol w:w="1929"/>
      </w:tblGrid>
      <w:tr>
        <w:trPr>
          <w:cantSplit/>
          <w:tblHeader/>
        </w:trPr>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w:t>
            </w:r>
          </w:p>
        </w:tc>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Ad soyad</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İmza</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Tarih</w:t>
            </w: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Yetkili imza (tedarikçi)</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NSM Sourcing’e atıf yapılarak serbestçe kullanılabilir ve uyarlanabilir. Genel bir kılavuzdur, hukuki danışmanlık değildir.</w:t>
    </w:r>
  </w:p>
  <w:p>
    <w:pPr>
      <w:jc w:val="right"/>
    </w:pPr>
    <w:r>
      <w:rPr>
        <w:rFonts w:ascii="Arial" w:cs="Arial" w:eastAsia="Arial" w:hAnsi="Arial"/>
        <w:color w:val="57534E"/>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NSM-09  Tedarikçi Ön Yeterlik Anketi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Tedarikçi Ön Yeterlik Anketi</dc:title>
  <dc:creator>NSM Sourcing</dc:creator>
  <dc:description>İhale öncesi tedarikçi değerlendirmesi: tedarikçinin katılıma uygun, finansal olarak sağlam ve teknik olarak yetkin olduğunu teyit eder.</dc:description>
  <cp:lastModifiedBy>Un-named</cp:lastModifiedBy>
  <cp:revision>1</cp:revision>
  <dcterms:created xsi:type="dcterms:W3CDTF">2026-10-12T12:18:23.210Z</dcterms:created>
  <dcterms:modified xsi:type="dcterms:W3CDTF">2026-10-12T12:18:23.210Z</dcterms:modified>
</cp:coreProperties>
</file>

<file path=docProps/custom.xml><?xml version="1.0" encoding="utf-8"?>
<Properties xmlns="http://schemas.openxmlformats.org/officeDocument/2006/custom-properties" xmlns:vt="http://schemas.openxmlformats.org/officeDocument/2006/docPropsVTypes"/>
</file>