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color w:val="854D0E"/>
          <w:spacing w:val="30"/>
          <w:sz w:val="17"/>
          <w:szCs w:val="17"/>
        </w:rPr>
        <w:t xml:space="preserve">NSM SOURCING  ·  SATIN ALMA ŞABLONU  NSM-06</w:t>
      </w:r>
    </w:p>
    <w:p>
      <w:pPr>
        <w:spacing w:after="80"/>
      </w:pPr>
      <w:r>
        <w:rPr>
          <w:rFonts w:ascii="Georgia" w:cs="Georgia" w:eastAsia="Georgia" w:hAnsi="Georgia"/>
          <w:b/>
          <w:bCs/>
          <w:color w:val="1C1917"/>
          <w:sz w:val="44"/>
          <w:szCs w:val="44"/>
        </w:rPr>
        <w:t xml:space="preserve">Satın Alma Stratejisi</w:t>
      </w:r>
    </w:p>
    <w:p>
      <w:pPr>
        <w:spacing w:after="160" w:before="60" w:line="276"/>
      </w:pPr>
      <w:r>
        <w:rPr>
          <w:rFonts w:ascii="Arial" w:cs="Arial" w:eastAsia="Arial" w:hAnsi="Arial"/>
          <w:color w:val="57534E"/>
          <w:sz w:val="22"/>
          <w:szCs w:val="22"/>
        </w:rPr>
        <w:t xml:space="preserve">Tek bir ihtiyaç veya kategori için kısa ve karara hazır plan: ne alıyoruz, hangi piyasadan, hangi yöntemle ve başarıyı nasıl ölçeceğiz.</w:t>
      </w:r>
    </w:p>
    <w:p>
      <w:pPr>
        <w:pBdr>
          <w:bottom w:val="single" w:color="D6D3CE" w:sz="4" w:space="6"/>
        </w:pBdr>
        <w:spacing w:after="200"/>
      </w:pPr>
      <w:r>
        <w:rPr>
          <w:rFonts w:ascii="Arial" w:cs="Arial" w:eastAsia="Arial" w:hAnsi="Arial"/>
          <w:b/>
          <w:bCs/>
          <w:color w:val="1C1917"/>
          <w:sz w:val="18"/>
          <w:szCs w:val="18"/>
        </w:rPr>
        <w:t xml:space="preserve">Satın alma ve tedarik döngüsü aşaması: </w:t>
      </w:r>
      <w:r>
        <w:rPr>
          <w:rFonts w:ascii="Arial" w:cs="Arial" w:eastAsia="Arial" w:hAnsi="Arial"/>
          <w:color w:val="57534E"/>
          <w:sz w:val="18"/>
          <w:szCs w:val="18"/>
        </w:rPr>
        <w:t xml:space="preserve">Strateji</w:t>
      </w:r>
    </w:p>
    <w:p>
      <w:pPr>
        <w:spacing w:after="80" w:before="120"/>
      </w:pPr>
      <w:r>
        <w:rPr>
          <w:rFonts w:ascii="Georgia" w:cs="Georgia" w:eastAsia="Georgia" w:hAnsi="Georgia"/>
          <w:b/>
          <w:bCs/>
          <w:color w:val="1C1917"/>
          <w:sz w:val="24"/>
          <w:szCs w:val="24"/>
        </w:rPr>
        <w:t xml:space="preserve">Bu şablon nasıl kullanılır</w:t>
      </w:r>
    </w:p>
    <w:p>
      <w:pPr>
        <w:pStyle w:val="ListParagraph"/>
        <w:numPr>
          <w:ilvl w:val="0"/>
          <w:numId w:val="2"/>
        </w:numPr>
        <w:spacing w:after="30" w:before="10" w:line="276"/>
      </w:pPr>
      <w:r>
        <w:rPr>
          <w:rFonts w:ascii="Arial" w:cs="Arial" w:eastAsia="Arial" w:hAnsi="Arial"/>
          <w:color w:val="57534E"/>
          <w:sz w:val="19"/>
          <w:szCs w:val="19"/>
        </w:rPr>
        <w:t xml:space="preserve">Kurumunuzun resmî rekabet eşiğini aşan her ihtiyaç için veya tedarik riski yüksek olduğunda kullanın. Bir kategorinin tamamı için aynı başlıkları kategori düzeyinde uygulayın.</w:t>
      </w:r>
    </w:p>
    <w:p>
      <w:pPr>
        <w:pStyle w:val="ListParagraph"/>
        <w:numPr>
          <w:ilvl w:val="0"/>
          <w:numId w:val="2"/>
        </w:numPr>
        <w:spacing w:after="30" w:before="10" w:line="276"/>
      </w:pPr>
      <w:r>
        <w:rPr>
          <w:rFonts w:ascii="Arial" w:cs="Arial" w:eastAsia="Arial" w:hAnsi="Arial"/>
          <w:color w:val="57534E"/>
          <w:sz w:val="19"/>
          <w:szCs w:val="19"/>
        </w:rPr>
        <w:t xml:space="preserve">Dört ile altı sayfa hedefleyin. Destekleyici analizi (şablon 03, 04 ve 05) tekrar yazmak yerine ekleyin.</w:t>
      </w:r>
    </w:p>
    <w:p>
      <w:pPr>
        <w:pStyle w:val="ListParagraph"/>
        <w:numPr>
          <w:ilvl w:val="0"/>
          <w:numId w:val="2"/>
        </w:numPr>
        <w:spacing w:after="30" w:before="10" w:line="276"/>
      </w:pPr>
      <w:r>
        <w:rPr>
          <w:rFonts w:ascii="Arial" w:cs="Arial" w:eastAsia="Arial" w:hAnsi="Arial"/>
          <w:color w:val="57534E"/>
          <w:sz w:val="19"/>
          <w:szCs w:val="19"/>
        </w:rPr>
        <w:t xml:space="preserve">Piyasa ile temasa başlamadan önce bu stratejiyi onaylatın. Onaydan sonraki değişiklikleri bölüm 12’ye kaydedin.</w:t>
      </w:r>
    </w:p>
    <w:p>
      <w:pPr>
        <w:keepNext/>
        <w:pBdr>
          <w:bottom w:val="single" w:color="A16207" w:sz="6" w:space="4"/>
        </w:pBdr>
        <w:spacing w:after="120" w:before="320"/>
      </w:pPr>
      <w:r>
        <w:rPr>
          <w:rFonts w:ascii="Georgia" w:cs="Georgia" w:eastAsia="Georgia" w:hAnsi="Georgia"/>
          <w:b/>
          <w:bCs/>
          <w:color w:val="1C1917"/>
          <w:sz w:val="28"/>
          <w:szCs w:val="28"/>
        </w:rPr>
        <w:t xml:space="preserve">Doküman kontrolü</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Kurum</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Referans numarası</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Sürüm ve tarih</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Hazırlayan (ad, görev)</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Gözden geçiren ve onaylayan</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Gizlilik derecesi (ör. kurum içi, gizli)</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1. Yönetici özeti</w:t>
      </w:r>
    </w:p>
    <w:p>
      <w:pPr>
        <w:spacing w:after="100" w:before="60" w:line="276"/>
      </w:pPr>
      <w:r>
        <w:rPr>
          <w:rFonts w:ascii="Arial" w:cs="Arial" w:eastAsia="Arial" w:hAnsi="Arial"/>
          <w:i/>
          <w:iCs/>
          <w:color w:val="57534E"/>
          <w:sz w:val="18"/>
          <w:szCs w:val="18"/>
        </w:rPr>
        <w:t xml:space="preserve">Beş cümle: ihtiyaç, tahmini tutar, önerilen satın alma yöntemi, başlıca risk ve istenen karar.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İhtiyaç ve kategori</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Tahmini yaşam boyu tutar ve para birimi</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Sözleşme süresi ve opsiyonlar</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Önerilen satın alma yöntemi</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İstenen karar ve tarihi</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2. İş ihtiyacı ve hedefler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55"/>
        <w:gridCol w:w="3373"/>
        <w:gridCol w:w="2410"/>
      </w:tblGrid>
      <w:tr>
        <w:trPr>
          <w:cantSplit/>
          <w:tblHeader/>
        </w:trPr>
        <w:tc>
          <w:tcPr>
            <w:tcW w:type="dxa" w:w="3855"/>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Hedef</w:t>
            </w:r>
          </w:p>
        </w:tc>
        <w:tc>
          <w:tcPr>
            <w:tcW w:type="dxa" w:w="3373"/>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Başarı ölçütü</w:t>
            </w:r>
          </w:p>
        </w:tc>
        <w:tc>
          <w:tcPr>
            <w:tcW w:type="dxa" w:w="2410"/>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Öncelik</w:t>
            </w:r>
          </w:p>
        </w:tc>
      </w:tr>
      <w:tr>
        <w:trPr>
          <w:cantSplit/>
          <w:tblHeader w:val="false"/>
          <w:trHeight w:val="360" w:hRule="atLeast"/>
        </w:trPr>
        <w:tc>
          <w:tcPr>
            <w:tcW w:type="dxa" w:w="385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[ör. Üretim planı için tedariki güvenceye almak]</w:t>
            </w:r>
          </w:p>
        </w:tc>
        <w:tc>
          <w:tcPr>
            <w:tcW w:type="dxa" w:w="3373"/>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[Hedefin üzerinde zamanında teslim oranı]</w:t>
            </w:r>
          </w:p>
        </w:tc>
        <w:tc>
          <w:tcPr>
            <w:tcW w:type="dxa" w:w="241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[Yüksek]</w:t>
            </w:r>
          </w:p>
        </w:tc>
      </w:tr>
      <w:tr>
        <w:trPr>
          <w:cantSplit/>
          <w:tblHeader w:val="false"/>
          <w:trHeight w:val="360" w:hRule="atLeast"/>
        </w:trPr>
        <w:tc>
          <w:tcPr>
            <w:tcW w:type="dxa" w:w="385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[ör. Toplam sahip olma maliyetini düşürmek]</w:t>
            </w:r>
          </w:p>
        </w:tc>
        <w:tc>
          <w:tcPr>
            <w:tcW w:type="dxa" w:w="3373"/>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[Yaklaşık maliyete göre]</w:t>
            </w:r>
          </w:p>
        </w:tc>
        <w:tc>
          <w:tcPr>
            <w:tcW w:type="dxa" w:w="241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385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[ör. Tek bir bölgeye bağımlılığı azaltmak]</w:t>
            </w:r>
          </w:p>
        </w:tc>
        <w:tc>
          <w:tcPr>
            <w:tcW w:type="dxa" w:w="3373"/>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[İki veya daha fazla bölgede nitelikli tedarikçi]</w:t>
            </w:r>
          </w:p>
        </w:tc>
        <w:tc>
          <w:tcPr>
            <w:tcW w:type="dxa" w:w="241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3. Paydaşlar</w:t>
      </w:r>
    </w:p>
    <w:p>
      <w:pPr>
        <w:spacing w:after="100" w:before="60" w:line="276"/>
      </w:pPr>
      <w:r>
        <w:rPr>
          <w:rFonts w:ascii="Arial" w:cs="Arial" w:eastAsia="Arial" w:hAnsi="Arial"/>
          <w:color w:val="1C1917"/>
          <w:sz w:val="20"/>
          <w:szCs w:val="20"/>
        </w:rPr>
        <w:t xml:space="preserve">Başlıca paydaşları, beklentilerini ve sürece nasıl dahil edileceklerini özetleyin. Şablon 03’ü (Paydaş Haritası ve RACI) ekleyin.</w:t>
      </w:r>
    </w:p>
    <w:p>
      <w:pPr>
        <w:keepNext/>
        <w:pBdr>
          <w:bottom w:val="single" w:color="A16207" w:sz="6" w:space="4"/>
        </w:pBdr>
        <w:spacing w:after="120" w:before="320"/>
      </w:pPr>
      <w:r>
        <w:rPr>
          <w:rFonts w:ascii="Georgia" w:cs="Georgia" w:eastAsia="Georgia" w:hAnsi="Georgia"/>
          <w:b/>
          <w:bCs/>
          <w:color w:val="1C1917"/>
          <w:sz w:val="28"/>
          <w:szCs w:val="28"/>
        </w:rPr>
        <w:t xml:space="preserve">4. Harcama ve talep analizi</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Geçmiş harcama (son 24-36 ay)</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Talep tahmini ve ne kadar kesin olduğu</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Mevcut tedarikçiler ve harcamadaki payları</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Talebi birleştirme fırsatları</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Mevcut sözleşmeler ve bitiş tarihleri</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5. Tedarik piyasası analizi</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Yetkin tedarikçi sayısı ve konumları</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Piyasa yoğunlaşması ve kapasite</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Başlıca maliyet etkenleri (malzeme, işçilik, enerji, lojistik, kur)</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Piyasa eğilimleri ve yeni girenler</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Bu piyasa için müşteri olarak çekiciliğimiz</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Tedarik zincirindeki ESG riskleri (çalışma koşulları, çevre, etik)</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Çatışma, darboğaz noktaları, yaptırımlar ve gümrük vergilerine maruziyet (şablon 29)</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Mevzuat taraması: CBAM, zorla çalıştırma, durum tespiti, Yapay Zekâ Yasası, ihracat kontrolü (şablon 30, 33, 34)</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pBdr>
          <w:left w:val="single" w:color="A16207" w:sz="18" w:space="8"/>
        </w:pBdr>
        <w:shd w:fill="F0EDE6" w:color="auto" w:val="clear"/>
        <w:spacing w:after="160" w:before="120" w:line="276"/>
        <w:ind w:left="160" w:right="120"/>
      </w:pPr>
      <w:r>
        <w:rPr>
          <w:rFonts w:ascii="Arial" w:cs="Arial" w:eastAsia="Arial" w:hAnsi="Arial"/>
          <w:b/>
          <w:bCs/>
          <w:color w:val="854D0E"/>
          <w:sz w:val="18"/>
          <w:szCs w:val="18"/>
        </w:rPr>
        <w:t xml:space="preserve">Uygulama notu.  </w:t>
      </w:r>
      <w:r>
        <w:rPr>
          <w:rFonts w:ascii="Arial" w:cs="Arial" w:eastAsia="Arial" w:hAnsi="Arial"/>
          <w:color w:val="1C1917"/>
          <w:sz w:val="18"/>
          <w:szCs w:val="18"/>
        </w:rPr>
        <w:t xml:space="preserve">Yetkin isteklilerin hepsi aynı bölgedeyse, aralarındaki rekabet bile fiyatları gerçek maliyetin çok üzerinde bırakabilir. Satın alma yöntemine karar vermeden önce bu kabiliyetin başka nerelerde bulunduğunu haritalayın; alanı genişletmek çoğu zaman her türlü müzakereden daha değerlidir.</w:t>
      </w:r>
    </w:p>
    <w:p>
      <w:pPr>
        <w:keepNext/>
        <w:pBdr>
          <w:bottom w:val="single" w:color="A16207" w:sz="6" w:space="4"/>
        </w:pBdr>
        <w:spacing w:after="120" w:before="320"/>
      </w:pPr>
      <w:r>
        <w:rPr>
          <w:rFonts w:ascii="Georgia" w:cs="Georgia" w:eastAsia="Georgia" w:hAnsi="Georgia"/>
          <w:b/>
          <w:bCs/>
          <w:color w:val="1C1917"/>
          <w:sz w:val="28"/>
          <w:szCs w:val="28"/>
        </w:rPr>
        <w:t xml:space="preserve">6. Konumlandırma ve üret ya da satın al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78"/>
        <w:gridCol w:w="2891"/>
        <w:gridCol w:w="6169"/>
      </w:tblGrid>
      <w:tr>
        <w:trPr>
          <w:cantSplit/>
          <w:tblHeader/>
        </w:trPr>
        <w:tc>
          <w:tcPr>
            <w:tcW w:type="dxa" w:w="578"/>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w:t>
            </w:r>
          </w:p>
        </w:tc>
        <w:tc>
          <w:tcPr>
            <w:tcW w:type="dxa" w:w="2891"/>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Tedarik konumu</w:t>
            </w:r>
          </w:p>
        </w:tc>
        <w:tc>
          <w:tcPr>
            <w:tcW w:type="dxa" w:w="6169"/>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Tipik strateji</w:t>
            </w:r>
          </w:p>
        </w:tc>
      </w:tr>
      <w:tr>
        <w:trPr>
          <w:cantSplit/>
          <w:tblHeader w:val="false"/>
          <w:trHeight w:val="360" w:hRule="atLeast"/>
        </w:trPr>
        <w:tc>
          <w:tcPr>
            <w:tcW w:type="dxa" w:w="57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Rutin (düşük tutar, düşük risk)</w:t>
            </w:r>
          </w:p>
        </w:tc>
        <w:tc>
          <w:tcPr>
            <w:tcW w:type="dxa" w:w="616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Sadeleştir: katalog, çerçeve anlaşma, düşük maliyetli sipariş süreci.</w:t>
            </w:r>
          </w:p>
        </w:tc>
      </w:tr>
      <w:tr>
        <w:trPr>
          <w:cantSplit/>
          <w:tblHeader w:val="false"/>
          <w:trHeight w:val="360" w:hRule="atLeast"/>
        </w:trPr>
        <w:tc>
          <w:tcPr>
            <w:tcW w:type="dxa" w:w="57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Kaldıraç (yüksek tutar, düşük risk)</w:t>
            </w:r>
          </w:p>
        </w:tc>
        <w:tc>
          <w:tcPr>
            <w:tcW w:type="dxa" w:w="616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Rekabete aç: ihale, hacmi birleştir, toplam maliyet üzerinden müzakere et.</w:t>
            </w:r>
          </w:p>
        </w:tc>
      </w:tr>
      <w:tr>
        <w:trPr>
          <w:cantSplit/>
          <w:tblHeader w:val="false"/>
          <w:trHeight w:val="360" w:hRule="atLeast"/>
        </w:trPr>
        <w:tc>
          <w:tcPr>
            <w:tcW w:type="dxa" w:w="57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Darboğaz (düşük tutar, yüksek risk)</w:t>
            </w:r>
          </w:p>
        </w:tc>
        <w:tc>
          <w:tcPr>
            <w:tcW w:type="dxa" w:w="616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Güvenceye al: alternatif kaynak onayla, emniyet stoku tut, şartnameyi sadeleştir.</w:t>
            </w:r>
          </w:p>
        </w:tc>
      </w:tr>
      <w:tr>
        <w:trPr>
          <w:cantSplit/>
          <w:tblHeader w:val="false"/>
          <w:trHeight w:val="360" w:hRule="atLeast"/>
        </w:trPr>
        <w:tc>
          <w:tcPr>
            <w:tcW w:type="dxa" w:w="57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Stratejik (yüksek tutar, yüksek risk)</w:t>
            </w:r>
          </w:p>
        </w:tc>
        <w:tc>
          <w:tcPr>
            <w:tcW w:type="dxa" w:w="616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Ortaklık kur: uzun süreli sözleşme, ortak geliştirme, yapılandırılmış tedarikçi ilişkileri yönetimi.</w:t>
            </w:r>
          </w:p>
        </w:tc>
      </w:tr>
    </w:tbl>
    <w:p>
      <w:pPr>
        <w:spacing w:after="60" w:before="0" w:line="276"/>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Üret ya da satın al değerlendirmesi (gerekiyorsa)</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Seçilen konumun gerekçesi</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7. Senaryolar ve dayanıklılık</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98"/>
        <w:gridCol w:w="2313"/>
        <w:gridCol w:w="2313"/>
        <w:gridCol w:w="2314"/>
      </w:tblGrid>
      <w:tr>
        <w:trPr>
          <w:cantSplit/>
          <w:tblHeader/>
        </w:trPr>
        <w:tc>
          <w:tcPr>
            <w:tcW w:type="dxa" w:w="2698"/>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Senaryo</w:t>
            </w:r>
          </w:p>
        </w:tc>
        <w:tc>
          <w:tcPr>
            <w:tcW w:type="dxa" w:w="2313"/>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Tedarike ve maliyete etkisi</w:t>
            </w:r>
          </w:p>
        </w:tc>
        <w:tc>
          <w:tcPr>
            <w:tcW w:type="dxa" w:w="2313"/>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Erken uyarı göstergesi</w:t>
            </w:r>
          </w:p>
        </w:tc>
        <w:tc>
          <w:tcPr>
            <w:tcW w:type="dxa" w:w="2314"/>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Planlanan yanıt</w:t>
            </w:r>
          </w:p>
        </w:tc>
      </w:tr>
      <w:tr>
        <w:trPr>
          <w:cantSplit/>
          <w:tblHeader w:val="false"/>
          <w:trHeight w:val="360" w:hRule="atLeast"/>
        </w:trPr>
        <w:tc>
          <w:tcPr>
            <w:tcW w:type="dxa" w:w="269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[Enerji veya navlun fiyat şoku]</w:t>
            </w:r>
          </w:p>
        </w:tc>
        <w:tc>
          <w:tcPr>
            <w:tcW w:type="dxa" w:w="2313"/>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313"/>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[ör. Brent, motorin, konteyner endeksi]</w:t>
            </w:r>
          </w:p>
        </w:tc>
        <w:tc>
          <w:tcPr>
            <w:tcW w:type="dxa" w:w="231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[Endekse bağlı madde, şablon 32]</w:t>
            </w:r>
          </w:p>
        </w:tc>
      </w:tr>
      <w:tr>
        <w:trPr>
          <w:cantSplit/>
          <w:tblHeader w:val="false"/>
          <w:trHeight w:val="360" w:hRule="atLeast"/>
        </w:trPr>
        <w:tc>
          <w:tcPr>
            <w:tcW w:type="dxa" w:w="269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[Darboğaz noktasının kapanması veya güzergâh değişikliği]</w:t>
            </w:r>
          </w:p>
        </w:tc>
        <w:tc>
          <w:tcPr>
            <w:tcW w:type="dxa" w:w="2313"/>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313"/>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[Taşıyıcı duyuruları]</w:t>
            </w:r>
          </w:p>
        </w:tc>
        <w:tc>
          <w:tcPr>
            <w:tcW w:type="dxa" w:w="231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[Alternatif güzergâh, emniyet stoku]</w:t>
            </w:r>
          </w:p>
        </w:tc>
      </w:tr>
      <w:tr>
        <w:trPr>
          <w:cantSplit/>
          <w:tblHeader w:val="false"/>
          <w:trHeight w:val="360" w:hRule="atLeast"/>
        </w:trPr>
        <w:tc>
          <w:tcPr>
            <w:tcW w:type="dxa" w:w="269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[Yeni gümrük vergisi, ticaret önlemi veya yaptırım listesine alınma]</w:t>
            </w:r>
          </w:p>
        </w:tc>
        <w:tc>
          <w:tcPr>
            <w:tcW w:type="dxa" w:w="2313"/>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313"/>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[Resmî Gazete ve resmî duyurular, tarama uyarıları]</w:t>
            </w:r>
          </w:p>
        </w:tc>
        <w:tc>
          <w:tcPr>
            <w:tcW w:type="dxa" w:w="231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[Başka bir ülkede ikinci kaynak]</w:t>
            </w:r>
          </w:p>
        </w:tc>
      </w:tr>
      <w:tr>
        <w:trPr>
          <w:cantSplit/>
          <w:tblHeader w:val="false"/>
          <w:trHeight w:val="360" w:hRule="atLeast"/>
        </w:trPr>
        <w:tc>
          <w:tcPr>
            <w:tcW w:type="dxa" w:w="269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[Kilit bir tedarikçinin veya tesisin devre dışı kalması]</w:t>
            </w:r>
          </w:p>
        </w:tc>
        <w:tc>
          <w:tcPr>
            <w:tcW w:type="dxa" w:w="2313"/>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313"/>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[Finansal sinyaller, teslimat performansı]</w:t>
            </w:r>
          </w:p>
        </w:tc>
        <w:tc>
          <w:tcPr>
            <w:tcW w:type="dxa" w:w="231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[Yeterliliği onaylı alternatif, şablon 31]</w:t>
            </w:r>
          </w:p>
        </w:tc>
      </w:tr>
    </w:tbl>
    <w:p>
      <w:pPr>
        <w:spacing w:after="60" w:before="0" w:line="276"/>
      </w:pPr>
    </w:p>
    <w:p>
      <w:pPr>
        <w:pBdr>
          <w:left w:val="single" w:color="A16207" w:sz="18" w:space="8"/>
        </w:pBdr>
        <w:shd w:fill="F0EDE6" w:color="auto" w:val="clear"/>
        <w:spacing w:after="160" w:before="120" w:line="276"/>
        <w:ind w:left="160" w:right="120"/>
      </w:pPr>
      <w:r>
        <w:rPr>
          <w:rFonts w:ascii="Arial" w:cs="Arial" w:eastAsia="Arial" w:hAnsi="Arial"/>
          <w:b/>
          <w:bCs/>
          <w:color w:val="854D0E"/>
          <w:sz w:val="18"/>
          <w:szCs w:val="18"/>
        </w:rPr>
        <w:t xml:space="preserve">Uygulama notu.  </w:t>
      </w:r>
      <w:r>
        <w:rPr>
          <w:rFonts w:ascii="Arial" w:cs="Arial" w:eastAsia="Arial" w:hAnsi="Arial"/>
          <w:color w:val="1C1917"/>
          <w:sz w:val="18"/>
          <w:szCs w:val="18"/>
        </w:rPr>
        <w:t xml:space="preserve">Tek bir tahmine dayanan strateji kırılgandır. Her biri için izlenecek bir göstergesi ve önceden kararlaştırılmış bir yanıtı olan dört beş makul senaryo, hazırlaması ucuz bir çalışmadır ve bir aksaklığı krizden çıkarıp önceden verilmiş bir karara dönüştürür.</w:t>
      </w:r>
    </w:p>
    <w:p>
      <w:pPr>
        <w:keepNext/>
        <w:pBdr>
          <w:bottom w:val="single" w:color="A16207" w:sz="6" w:space="4"/>
        </w:pBdr>
        <w:spacing w:after="120" w:before="320"/>
      </w:pPr>
      <w:r>
        <w:rPr>
          <w:rFonts w:ascii="Georgia" w:cs="Georgia" w:eastAsia="Georgia" w:hAnsi="Georgia"/>
          <w:b/>
          <w:bCs/>
          <w:color w:val="1C1917"/>
          <w:sz w:val="28"/>
          <w:szCs w:val="28"/>
        </w:rPr>
        <w:t xml:space="preserve">8. Satın alma yöntemi</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78"/>
        <w:gridCol w:w="3276"/>
        <w:gridCol w:w="5784"/>
      </w:tblGrid>
      <w:tr>
        <w:trPr>
          <w:cantSplit/>
          <w:tblHeader/>
        </w:trPr>
        <w:tc>
          <w:tcPr>
            <w:tcW w:type="dxa" w:w="578"/>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w:t>
            </w:r>
          </w:p>
        </w:tc>
        <w:tc>
          <w:tcPr>
            <w:tcW w:type="dxa" w:w="3276"/>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Yöntem</w:t>
            </w:r>
          </w:p>
        </w:tc>
        <w:tc>
          <w:tcPr>
            <w:tcW w:type="dxa" w:w="5784"/>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Koşullar</w:t>
            </w:r>
          </w:p>
        </w:tc>
      </w:tr>
      <w:tr>
        <w:trPr>
          <w:cantSplit/>
          <w:tblHeader w:val="false"/>
          <w:trHeight w:val="360" w:hRule="atLeast"/>
        </w:trPr>
        <w:tc>
          <w:tcPr>
            <w:tcW w:type="dxa" w:w="57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Teklif isteği (en az üç teklif)</w:t>
            </w:r>
          </w:p>
        </w:tc>
        <w:tc>
          <w:tcPr>
            <w:tcW w:type="dxa" w:w="578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Basit ve iyi tanımlanmış ihtiyaç; asıl ayırt edici fiyat.</w:t>
            </w:r>
          </w:p>
        </w:tc>
      </w:tr>
      <w:tr>
        <w:trPr>
          <w:cantSplit/>
          <w:tblHeader w:val="false"/>
          <w:trHeight w:val="360" w:hRule="atLeast"/>
        </w:trPr>
        <w:tc>
          <w:tcPr>
            <w:tcW w:type="dxa" w:w="57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Tek aşamalı ihale (ITT / RFP)</w:t>
            </w:r>
          </w:p>
        </w:tc>
        <w:tc>
          <w:tcPr>
            <w:tcW w:type="dxa" w:w="578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Açık şartname; birden çok nitelikli tedarikçi.</w:t>
            </w:r>
          </w:p>
        </w:tc>
      </w:tr>
      <w:tr>
        <w:trPr>
          <w:cantSplit/>
          <w:tblHeader w:val="false"/>
          <w:trHeight w:val="360" w:hRule="atLeast"/>
        </w:trPr>
        <w:tc>
          <w:tcPr>
            <w:tcW w:type="dxa" w:w="57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İki aşamalı ihale (ön yeterlik, ardından ihale)</w:t>
            </w:r>
          </w:p>
        </w:tc>
        <w:tc>
          <w:tcPr>
            <w:tcW w:type="dxa" w:w="578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Çok sayıda potansiyel tedarikçi veya yüksek risk; önce değerlendirme gerekli.</w:t>
            </w:r>
          </w:p>
        </w:tc>
      </w:tr>
      <w:tr>
        <w:trPr>
          <w:cantSplit/>
          <w:tblHeader w:val="false"/>
          <w:trHeight w:val="360" w:hRule="atLeast"/>
        </w:trPr>
        <w:tc>
          <w:tcPr>
            <w:tcW w:type="dxa" w:w="57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Elektronik ters açık artırma</w:t>
            </w:r>
          </w:p>
        </w:tc>
        <w:tc>
          <w:tcPr>
            <w:tcW w:type="dxa" w:w="578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Emtia benzeri, tam tanımlanmış kalemler; yeterli sayıda nitelikli istekli.</w:t>
            </w:r>
          </w:p>
        </w:tc>
      </w:tr>
      <w:tr>
        <w:trPr>
          <w:cantSplit/>
          <w:tblHeader w:val="false"/>
          <w:trHeight w:val="360" w:hRule="atLeast"/>
        </w:trPr>
        <w:tc>
          <w:tcPr>
            <w:tcW w:type="dxa" w:w="57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Çerçeve anlaşma ve çağrı siparişleri</w:t>
            </w:r>
          </w:p>
        </w:tc>
        <w:tc>
          <w:tcPr>
            <w:tcW w:type="dxa" w:w="578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Zamanlaması veya miktarı belirsiz, tekrarlanan ihtiyaç.</w:t>
            </w:r>
          </w:p>
        </w:tc>
      </w:tr>
      <w:tr>
        <w:trPr>
          <w:cantSplit/>
          <w:tblHeader w:val="false"/>
          <w:trHeight w:val="360" w:hRule="atLeast"/>
        </w:trPr>
        <w:tc>
          <w:tcPr>
            <w:tcW w:type="dxa" w:w="57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Tek kaynak veya doğrudan temin</w:t>
            </w:r>
          </w:p>
        </w:tc>
        <w:tc>
          <w:tcPr>
            <w:tcW w:type="dxa" w:w="578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Yalnızca bir yetkin tedarikçi var. Şablon 18’i doldurun.</w:t>
            </w: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9. Değerlendirme yaklaşımı</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Geçti/kaldı kriterleri (uygunluk, yeterlik)</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Karar esası (en düşük uygun fiyat veya ağırlıklı kriterlere göre en avantajlı teklif)</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Kalite ve fiyat ağırlığı, gerekçesiyle</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Fiyat değerlendirme yöntemi (birim fiyat, yaşam boyu maliyet, landed cost)</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Değerlendirme kurulu üyeleri</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Kaynak bulma ve değerlendirmede yapay zekâ araçlarının kullanımı ve insan kontrol noktaları (şablon 26)</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10. Ticari yaklaşım ve sözleşme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Sözleşme türü ve koşullar (alıcı standardı, tedarikçi, sektör modeli)</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Fiyat mekanizması (sabit, endeksli, maliyet artı, hedef maliyet)</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Ödeme koşulları</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Teminat, garanti, cezai şartlar</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Temel performans göstergeleri</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Çıkış ve devir düzenlemeleri</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Fiyat güncelleme mekanizması: endeks, paylar, baz tarih, tavan ve taban (şablon 32)</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Yeni gümrük vergisi, harç ve karbon maliyetlerinin taraflar arasında paylaşımı</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11. Riskler</w:t>
      </w:r>
    </w:p>
    <w:p>
      <w:pPr>
        <w:spacing w:after="100" w:before="60" w:line="276"/>
      </w:pPr>
      <w:r>
        <w:rPr>
          <w:rFonts w:ascii="Arial" w:cs="Arial" w:eastAsia="Arial" w:hAnsi="Arial"/>
          <w:color w:val="1C1917"/>
          <w:sz w:val="20"/>
          <w:szCs w:val="20"/>
        </w:rPr>
        <w:t xml:space="preserve">İlk beş riski ve azaltma faaliyetlerini listeleyin. Şablon 05’i (Tedarik Riski Kaydı) ekleyin.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55"/>
        <w:gridCol w:w="1445"/>
        <w:gridCol w:w="4338"/>
      </w:tblGrid>
      <w:tr>
        <w:trPr>
          <w:cantSplit/>
          <w:tblHeader/>
        </w:trPr>
        <w:tc>
          <w:tcPr>
            <w:tcW w:type="dxa" w:w="3855"/>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Risk</w:t>
            </w:r>
          </w:p>
        </w:tc>
        <w:tc>
          <w:tcPr>
            <w:tcW w:type="dxa" w:w="1445"/>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Derece</w:t>
            </w:r>
          </w:p>
        </w:tc>
        <w:tc>
          <w:tcPr>
            <w:tcW w:type="dxa" w:w="4338"/>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Azaltma faaliyeti ve sorumlu</w:t>
            </w:r>
          </w:p>
        </w:tc>
      </w:tr>
      <w:tr>
        <w:trPr>
          <w:cantSplit/>
          <w:tblHeader w:val="false"/>
          <w:trHeight w:val="360" w:hRule="atLeast"/>
        </w:trPr>
        <w:tc>
          <w:tcPr>
            <w:tcW w:type="dxa" w:w="385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44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433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385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44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433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385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44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433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385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44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433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385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44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433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12. Takvim ve onaylar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2409"/>
        <w:gridCol w:w="2410"/>
      </w:tblGrid>
      <w:tr>
        <w:trPr>
          <w:cantSplit/>
          <w:tblHeader/>
        </w:trPr>
        <w:tc>
          <w:tcPr>
            <w:tcW w:type="dxa" w:w="4819"/>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Kilometre taşı</w:t>
            </w:r>
          </w:p>
        </w:tc>
        <w:tc>
          <w:tcPr>
            <w:tcW w:type="dxa" w:w="2409"/>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Planlanan tarih</w:t>
            </w:r>
          </w:p>
        </w:tc>
        <w:tc>
          <w:tcPr>
            <w:tcW w:type="dxa" w:w="2410"/>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Sorumlu</w:t>
            </w:r>
          </w:p>
        </w:tc>
      </w:tr>
      <w:tr>
        <w:trPr>
          <w:cantSplit/>
          <w:tblHeader w:val="false"/>
          <w:trHeight w:val="360" w:hRule="atLeast"/>
        </w:trPr>
        <w:tc>
          <w:tcPr>
            <w:tcW w:type="dxa" w:w="481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Strateji onayı</w:t>
            </w:r>
          </w:p>
        </w:tc>
        <w:tc>
          <w:tcPr>
            <w:tcW w:type="dxa" w:w="240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41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481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Piyasa ile temas (RFI) tamamlandı</w:t>
            </w:r>
          </w:p>
        </w:tc>
        <w:tc>
          <w:tcPr>
            <w:tcW w:type="dxa" w:w="240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41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481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İhale dokümanları gönderildi</w:t>
            </w:r>
          </w:p>
        </w:tc>
        <w:tc>
          <w:tcPr>
            <w:tcW w:type="dxa" w:w="240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41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481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Teklifler alındı</w:t>
            </w:r>
          </w:p>
        </w:tc>
        <w:tc>
          <w:tcPr>
            <w:tcW w:type="dxa" w:w="240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41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481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Değerlendirme ve müzakere tamamlandı</w:t>
            </w:r>
          </w:p>
        </w:tc>
        <w:tc>
          <w:tcPr>
            <w:tcW w:type="dxa" w:w="240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41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481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Karar verildi</w:t>
            </w:r>
          </w:p>
        </w:tc>
        <w:tc>
          <w:tcPr>
            <w:tcW w:type="dxa" w:w="240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41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481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Sözleşme başlangıcı</w:t>
            </w:r>
          </w:p>
        </w:tc>
        <w:tc>
          <w:tcPr>
            <w:tcW w:type="dxa" w:w="240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41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13"/>
        <w:gridCol w:w="2505"/>
        <w:gridCol w:w="2891"/>
        <w:gridCol w:w="1929"/>
      </w:tblGrid>
      <w:tr>
        <w:trPr>
          <w:cantSplit/>
          <w:tblHeader/>
        </w:trPr>
        <w:tc>
          <w:tcPr>
            <w:tcW w:type="dxa" w:w="2313"/>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Rol</w:t>
            </w:r>
          </w:p>
        </w:tc>
        <w:tc>
          <w:tcPr>
            <w:tcW w:type="dxa" w:w="2505"/>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Ad soyad</w:t>
            </w:r>
          </w:p>
        </w:tc>
        <w:tc>
          <w:tcPr>
            <w:tcW w:type="dxa" w:w="2891"/>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İmza</w:t>
            </w:r>
          </w:p>
        </w:tc>
        <w:tc>
          <w:tcPr>
            <w:tcW w:type="dxa" w:w="1929"/>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Tarih</w:t>
            </w:r>
          </w:p>
        </w:tc>
      </w:tr>
      <w:tr>
        <w:trPr>
          <w:cantSplit/>
          <w:tblHeader w:val="false"/>
          <w:trHeight w:val="520" w:hRule="atLeast"/>
        </w:trPr>
        <w:tc>
          <w:tcPr>
            <w:tcW w:type="dxa" w:w="231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Satın alma sorumlusu</w:t>
            </w:r>
          </w:p>
        </w:tc>
        <w:tc>
          <w:tcPr>
            <w:tcW w:type="dxa" w:w="250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520" w:hRule="atLeast"/>
        </w:trPr>
        <w:tc>
          <w:tcPr>
            <w:tcW w:type="dxa" w:w="231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Bütçe sahibi</w:t>
            </w:r>
          </w:p>
        </w:tc>
        <w:tc>
          <w:tcPr>
            <w:tcW w:type="dxa" w:w="250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520" w:hRule="atLeast"/>
        </w:trPr>
        <w:tc>
          <w:tcPr>
            <w:tcW w:type="dxa" w:w="231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Onaylayan (yetki devrine göre)</w:t>
            </w:r>
          </w:p>
        </w:tc>
        <w:tc>
          <w:tcPr>
            <w:tcW w:type="dxa" w:w="250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sectPr>
      <w:headerReference w:type="default" r:id="rId7"/>
      <w:footerReference w:type="default" r:id="rId8"/>
      <w:pgSz w:w="11906" w:h="16838" w:orient="portrait"/>
      <w:pgMar w:top="1134" w:right="1134" w:bottom="1134" w:left="1134" w:header="560" w:footer="5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6D3CE" w:sz="4" w:space="4"/>
      </w:pBdr>
    </w:pPr>
    <w:r>
      <w:rPr>
        <w:rFonts w:ascii="Arial" w:cs="Arial" w:eastAsia="Arial" w:hAnsi="Arial"/>
        <w:color w:val="57534E"/>
        <w:sz w:val="15"/>
        <w:szCs w:val="15"/>
      </w:rPr>
      <w:t xml:space="preserve">NSM Sourcing  ·  nsmsourcing.com  ·  </w:t>
    </w:r>
    <w:r>
      <w:rPr>
        <w:rFonts w:ascii="Arial" w:cs="Arial" w:eastAsia="Arial" w:hAnsi="Arial"/>
        <w:color w:val="57534E"/>
        <w:sz w:val="15"/>
        <w:szCs w:val="15"/>
      </w:rPr>
      <w:t xml:space="preserve">CC BY 4.0: NSM Sourcing’e atıf yapılarak serbestçe kullanılabilir ve uyarlanabilir. Genel bir kılavuzdur, hukuki danışmanlık değildir.</w:t>
    </w:r>
  </w:p>
  <w:p>
    <w:pPr>
      <w:jc w:val="right"/>
    </w:pPr>
    <w:r>
      <w:rPr>
        <w:rFonts w:ascii="Arial" w:cs="Arial" w:eastAsia="Arial" w:hAnsi="Arial"/>
        <w:color w:val="57534E"/>
        <w:sz w:val="15"/>
        <w:szCs w:val="15"/>
      </w:rPr>
      <w:t xml:space="preserve">Sayfa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57534E"/>
        <w:sz w:val="15"/>
        <w:szCs w:val="15"/>
      </w:rPr>
      <w:t xml:space="preserve">NSM-06  Satın Alma Stratejisi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lvl>
  </w:abstractNum>
  <w:abstractNum w:abstractNumId="3" w15:restartNumberingAfterBreak="0">
    <w:multiLevelType w:val="hybridMultilevel"/>
    <w:lvl w:ilvl="0" w15:tentative="1">
      <w:start w:val="1"/>
      <w:numFmt w:val="decimal"/>
      <w:lvlText w:val="%1."/>
      <w:lvlJc w:val="left"/>
      <w:pPr>
        <w:ind w:left="400" w:hanging="300"/>
      </w:pPr>
    </w:lvl>
  </w:abstractNum>
  <w:abstractNum w:abstractNumId="4" w15:restartNumberingAfterBreak="0">
    <w:multiLevelType w:val="hybridMultilevel"/>
    <w:lvl w:ilvl="0" w15:tentative="1">
      <w:start w:val="1"/>
      <w:numFmt w:val="decimal"/>
      <w:lvlText w:val="%1."/>
      <w:lvlJc w:val="left"/>
      <w:pPr>
        <w:ind w:left="400" w:hanging="300"/>
      </w:pPr>
    </w:lvl>
  </w:abstractNum>
  <w:abstractNum w:abstractNumId="5" w15:restartNumberingAfterBreak="0">
    <w:multiLevelType w:val="hybridMultilevel"/>
    <w:lvl w:ilvl="0" w15:tentative="1">
      <w:start w:val="1"/>
      <w:numFmt w:val="decimal"/>
      <w:lvlText w:val="%1."/>
      <w:lvlJc w:val="left"/>
      <w:pPr>
        <w:ind w:left="400" w:hanging="300"/>
      </w:pPr>
    </w:lvl>
  </w:abstractNum>
  <w:abstractNum w:abstractNumId="6"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Satın Alma Stratejisi</dc:title>
  <dc:creator>NSM Sourcing</dc:creator>
  <dc:description>Tek bir ihtiyaç veya kategori için kısa ve karara hazır plan: ne alıyoruz, hangi piyasadan, hangi yöntemle ve başarıyı nasıl ölçeceğiz.</dc:description>
  <cp:lastModifiedBy>Un-named</cp:lastModifiedBy>
  <cp:revision>1</cp:revision>
  <dcterms:created xsi:type="dcterms:W3CDTF">2026-10-12T12:18:23.072Z</dcterms:created>
  <dcterms:modified xsi:type="dcterms:W3CDTF">2026-10-12T12:18:23.072Z</dcterms:modified>
</cp:coreProperties>
</file>

<file path=docProps/custom.xml><?xml version="1.0" encoding="utf-8"?>
<Properties xmlns="http://schemas.openxmlformats.org/officeDocument/2006/custom-properties" xmlns:vt="http://schemas.openxmlformats.org/officeDocument/2006/docPropsVTypes"/>
</file>