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NSM-02</w:t>
      </w:r>
    </w:p>
    <w:p>
      <w:pPr>
        <w:spacing w:after="80"/>
      </w:pPr>
      <w:r>
        <w:rPr>
          <w:rFonts w:ascii="Georgia" w:cs="Georgia" w:eastAsia="Georgia" w:hAnsi="Georgia"/>
          <w:b/>
          <w:bCs/>
          <w:color w:val="1C1917"/>
          <w:sz w:val="44"/>
          <w:szCs w:val="44"/>
        </w:rPr>
        <w:t xml:space="preserve">Şartname ve İş Tanımı</w:t>
      </w:r>
    </w:p>
    <w:p>
      <w:pPr>
        <w:spacing w:after="160" w:before="60" w:line="276"/>
      </w:pPr>
      <w:r>
        <w:rPr>
          <w:rFonts w:ascii="Arial" w:cs="Arial" w:eastAsia="Arial" w:hAnsi="Arial"/>
          <w:color w:val="57534E"/>
          <w:sz w:val="22"/>
          <w:szCs w:val="22"/>
        </w:rPr>
        <w:t xml:space="preserve">Neyin tedarik edileceğini, hangi standardı karşılaması gerektiğini ve kabulün nasıl yapılacağını tanımlar.</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Şartname</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Şartnameyi ürünü veya hizmeti kullanacak kişilerle birlikte yazın. Yapıdan ve ifadelerin ticari tarafsızlığından satın alma sorumludur.</w:t>
      </w:r>
    </w:p>
    <w:p>
      <w:pPr>
        <w:pStyle w:val="ListParagraph"/>
        <w:numPr>
          <w:ilvl w:val="0"/>
          <w:numId w:val="2"/>
        </w:numPr>
        <w:spacing w:after="30" w:before="10" w:line="276"/>
      </w:pPr>
      <w:r>
        <w:rPr>
          <w:rFonts w:ascii="Arial" w:cs="Arial" w:eastAsia="Arial" w:hAnsi="Arial"/>
          <w:color w:val="57534E"/>
          <w:sz w:val="19"/>
          <w:szCs w:val="19"/>
        </w:rPr>
        <w:t xml:space="preserve">Önce bölüm 2’de şartname türünü seçin. Dokümanın geri kalanında ne kadar ayrıntı gerektiğini bu belirler.</w:t>
      </w:r>
    </w:p>
    <w:p>
      <w:pPr>
        <w:pStyle w:val="ListParagraph"/>
        <w:numPr>
          <w:ilvl w:val="0"/>
          <w:numId w:val="2"/>
        </w:numPr>
        <w:spacing w:after="30" w:before="10" w:line="276"/>
      </w:pPr>
      <w:r>
        <w:rPr>
          <w:rFonts w:ascii="Arial" w:cs="Arial" w:eastAsia="Arial" w:hAnsi="Arial"/>
          <w:color w:val="57534E"/>
          <w:sz w:val="19"/>
          <w:szCs w:val="19"/>
        </w:rPr>
        <w:t xml:space="preserve">Uyumluluk zorunlu kılmadıkça marka adı ve tedarikçi parça numarası kullanmayın. Kullanmanız gerekiyorsa “veya muadili” ekleyin ve muadilliğin nasıl değerlendirileceğini yazın.</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Arka plan ve iş ihtiyacı</w:t>
      </w:r>
    </w:p>
    <w:p>
      <w:pPr>
        <w:spacing w:after="100" w:before="60" w:line="276"/>
      </w:pPr>
      <w:r>
        <w:rPr>
          <w:rFonts w:ascii="Arial" w:cs="Arial" w:eastAsia="Arial" w:hAnsi="Arial"/>
          <w:i/>
          <w:iCs/>
          <w:color w:val="57534E"/>
          <w:sz w:val="18"/>
          <w:szCs w:val="18"/>
        </w:rPr>
        <w:t xml:space="preserve">İhtiyacın neden doğduğunu, hangi sorunu çözdüğünü ve karşılanmazsa ne olacağını sade bir dille açıklayın. Tedarikçiler amacı anladıklarında daha iyi çözümler önerir.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İhtiyacın adı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İş ihtiyacı ve amaç</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Kullanıcılar ve kullanım yeri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İlgili satın alma talebi veya proje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İhtiyaç tarihi ve bu tarihin nedeni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Şartname türü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2891"/>
        <w:gridCol w:w="6169"/>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Tür</w:t>
            </w:r>
          </w:p>
        </w:tc>
        <w:tc>
          <w:tcPr>
            <w:tcW w:type="dxa" w:w="616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Ne zaman kullanılır</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Performans (çıktı) şartnamesi</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Piyasa alıcıdan daha çok bilir. Sonucu, çalışma koşullarını ve performans düzeylerini tanımlayın; çözümü tedarikçiler önersin.</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Uygunluk (teknik) şartnamesi</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Uyumluluk, güvenlik veya mevzuat tasarımı belirler. Boyut, malzeme, standart ve toleransları kesin olarak yazın.</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Karma</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Temel arayüzler sabit, gerisi açık. Hangi maddelerin zorunlu, hangilerinin performans hedefi olduğunu açıkça belirtin.</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Kapsam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
        <w:gridCol w:w="5782"/>
        <w:gridCol w:w="1445"/>
        <w:gridCol w:w="1448"/>
      </w:tblGrid>
      <w:tr>
        <w:trPr>
          <w:cantSplit/>
          <w:tblHeader/>
        </w:trPr>
        <w:tc>
          <w:tcPr>
            <w:tcW w:type="dxa" w:w="96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Kalem</w:t>
            </w:r>
          </w:p>
        </w:tc>
        <w:tc>
          <w:tcPr>
            <w:tcW w:type="dxa" w:w="578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Mal, yapım işi veya hizmetin tanımı</w:t>
            </w:r>
          </w:p>
        </w:tc>
        <w:tc>
          <w:tcPr>
            <w:tcW w:type="dxa" w:w="144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Miktar</w:t>
            </w:r>
          </w:p>
        </w:tc>
        <w:tc>
          <w:tcPr>
            <w:tcW w:type="dxa" w:w="144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Birim</w:t>
            </w:r>
          </w:p>
        </w:tc>
      </w:tr>
      <w:tr>
        <w:trPr>
          <w:cantSplit/>
          <w:tblHeader w:val="false"/>
          <w:trHeight w:val="360" w:hRule="atLeast"/>
        </w:trPr>
        <w:tc>
          <w:tcPr>
            <w:tcW w:type="dxa" w:w="96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96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96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96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96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578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Kapsama dahil olanlar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Kapsam dışı olanlar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Diğer sözleşme veya sistemlerle arayüzler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Alıcının ileride kullanabileceği opsiyonlar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Gereksinimler</w:t>
      </w:r>
    </w:p>
    <w:p>
      <w:pPr>
        <w:spacing w:after="100" w:before="60" w:line="276"/>
      </w:pPr>
      <w:r>
        <w:rPr>
          <w:rFonts w:ascii="Arial" w:cs="Arial" w:eastAsia="Arial" w:hAnsi="Arial"/>
          <w:i/>
          <w:iCs/>
          <w:color w:val="57534E"/>
          <w:sz w:val="18"/>
          <w:szCs w:val="18"/>
        </w:rPr>
        <w:t xml:space="preserve">İsteklilerin satır satır yanıt verebilmesi için her gereksinimi numaralandırın. Zorunlu gereksinimlerde (karşılanmazsa teklif reddedilir) “mutlaka”, puanlanacak tercihlerde “tercihen” ifadesini kullanın.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7"/>
        <w:gridCol w:w="5300"/>
        <w:gridCol w:w="1349"/>
        <w:gridCol w:w="2122"/>
      </w:tblGrid>
      <w:tr>
        <w:trPr>
          <w:cantSplit/>
          <w:tblHeader/>
        </w:trPr>
        <w:tc>
          <w:tcPr>
            <w:tcW w:type="dxa" w:w="86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Ref.</w:t>
            </w:r>
          </w:p>
        </w:tc>
        <w:tc>
          <w:tcPr>
            <w:tcW w:type="dxa" w:w="530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Gereksinim</w:t>
            </w:r>
          </w:p>
        </w:tc>
        <w:tc>
          <w:tcPr>
            <w:tcW w:type="dxa" w:w="134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Mutlaka / Tercihen</w:t>
            </w:r>
          </w:p>
        </w:tc>
        <w:tc>
          <w:tcPr>
            <w:tcW w:type="dxa" w:w="212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Nasıl doğrulanacak</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G1</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[İşlevsel veya performans gereksinimi]</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Mutlaka</w:t>
            </w: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[Test, muayene, sertifika]</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G2</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[Teknik standart, ör. TS EN veya IEC referansı]</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Mutlaka</w:t>
            </w: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[Tip testi raporu]</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G3</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[Kalite gereksinimi, ör. ISO 9001 belgeli üretim]</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Mutlaka</w:t>
            </w: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[Geçerli belge]</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G4</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[Ambalaj, etiketleme, dokümantasyon, dil]</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Tercihen</w:t>
            </w: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[Numune, doküman incelemesi]</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G5</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[Sürdürülebilirlik gereksinimi, ör. enerji verimliliği, geri dönüştürülebilir ambalaj]</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Tercihen</w:t>
            </w: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[Beyan, teknik föy]</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G6</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[Yazılım veya ağa bağlı ekipman için veri ve siber güvenlik: güvenli yapılandırma, yama, zafiyet bildirimi (şablon 28)]</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Mutlaka</w:t>
            </w: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[Anket, belge]</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G7</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[Gömülü emisyon veya ürün karbon verisi; CBAM kapsamındaki mallarda doğrulanmış gerçek değerler (şablon 33)]</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Tercihen</w:t>
            </w: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[Veri formu, doğrulama raporu]</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G8</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[Varsa yapay zekâ işlevlerinin, kullandığı verinin ve çıktılarının bir kişi tarafından nasıl kontrol edileceğinin beyanı]</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Tercihen</w:t>
            </w: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[Beyan, gösterim]</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G9</w:t>
            </w:r>
          </w:p>
        </w:tc>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12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5. Hizmet düzeyleri ve teslimatlar (hizmetler için)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2891"/>
        <w:gridCol w:w="1927"/>
        <w:gridCol w:w="1929"/>
      </w:tblGrid>
      <w:tr>
        <w:trPr>
          <w:cantSplit/>
          <w:tblHeader/>
        </w:trPr>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Teslimat veya hizmet</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Hizmet düzeyi veya KPI</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Ölçüm</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Sıklık</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Raporlama gereksinimleri (yönetim, kullanım, sürdürülebilirlik veya karbon raporları; sıklık ve biçim)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6. Teslimat, montaj ve eğitim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Teslim adresi ve Incoterms 2020 kuralı (belirtilen yerle)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Teslim takvimi veya çağrı sipariş düzeni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Montaj, devreye alma ve ilk kullanım desteği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Kullanıcı eğitimi (kim, kaç kişi, nerede)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Dokümantasyon (kılavuzlar, çizimler, sertifikalar, dil)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Kabul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Fabrika kabul testi (FAT) veya sevkiyat öncesi muayene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İlk ürün muayenesi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Saha kabul testi (SAT) ve giriş kontrolü</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Kabul kriterleri ve kabulü kimin imzalayacağı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Uygunsuz kalemlerin nasıl ele alınacağı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İade edilemeyen özel üretim kalemlerde kritik kontrolleri teslimattan sonraya değil, sevkiyattan önceye koyun. İmzalı şartnameye göre fabrikada yapılan bir muayene, gelip testten geçemeyen bir ünite üzerine çıkacak anlaşmazlıktan çok daha ucuzdur.</w:t>
      </w:r>
    </w:p>
    <w:p>
      <w:pPr>
        <w:keepNext/>
        <w:pBdr>
          <w:bottom w:val="single" w:color="A16207" w:sz="6" w:space="4"/>
        </w:pBdr>
        <w:spacing w:after="120" w:before="320"/>
      </w:pPr>
      <w:r>
        <w:rPr>
          <w:rFonts w:ascii="Georgia" w:cs="Georgia" w:eastAsia="Georgia" w:hAnsi="Georgia"/>
          <w:b/>
          <w:bCs/>
          <w:color w:val="1C1917"/>
          <w:sz w:val="28"/>
          <w:szCs w:val="28"/>
        </w:rPr>
        <w:t xml:space="preserve">8. Garanti, destek ve üretimden kalkma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Garanti süresi ve kapsamı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Yedek parça temin süresi (yıl)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Üretimden kaldırma (obsolescence) bildirimi (ay)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Sonraki değişiklik ve yükseltmeler için destek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Müdahale ve onarım süreleri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9. Tedarik dayanıklılığı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Kritik bileşen ve malzemelerin üretildiği yerler (alt kademe), bilindiği kadarıyla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Lojistik güzergâh ve darboğaz noktaları; kabul edilebilir alternatif güzergâhlar (şablon 29)</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Kabul edilebilir alternatif malzeme, tasarım veya kaynaklar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Tedarikçiden istenen emniyet stoku veya kapasite rezervasyonu</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10. Göndermeden önce gözden geçirme</w:t>
      </w:r>
    </w:p>
    <w:p>
      <w:pPr>
        <w:spacing w:after="40" w:before="20" w:line="276"/>
        <w:ind w:left="200"/>
      </w:pPr>
      <w:r>
        <w:rPr>
          <w:rFonts w:ascii="Arial" w:cs="Arial" w:eastAsia="Arial" w:hAnsi="Arial"/>
          <w:color w:val="1C1917"/>
          <w:sz w:val="20"/>
          <w:szCs w:val="20"/>
        </w:rPr>
        <w:t xml:space="preserve">☐  Kullanıcılar ve teknik sorumlu gereksinimleri gözden geçirdi ve onayladı.</w:t>
      </w:r>
    </w:p>
    <w:p>
      <w:pPr>
        <w:spacing w:after="40" w:before="20" w:line="276"/>
        <w:ind w:left="200"/>
      </w:pPr>
      <w:r>
        <w:rPr>
          <w:rFonts w:ascii="Arial" w:cs="Arial" w:eastAsia="Arial" w:hAnsi="Arial"/>
          <w:color w:val="1C1917"/>
          <w:sz w:val="20"/>
          <w:szCs w:val="20"/>
        </w:rPr>
        <w:t xml:space="preserve">☐  Hiçbir gereksinim gereksiz yere tek bir tedarikçiyi veya ürünü kayırmıyor.</w:t>
      </w:r>
    </w:p>
    <w:p>
      <w:pPr>
        <w:spacing w:after="40" w:before="20" w:line="276"/>
        <w:ind w:left="200"/>
      </w:pPr>
      <w:r>
        <w:rPr>
          <w:rFonts w:ascii="Arial" w:cs="Arial" w:eastAsia="Arial" w:hAnsi="Arial"/>
          <w:color w:val="1C1917"/>
          <w:sz w:val="20"/>
          <w:szCs w:val="20"/>
        </w:rPr>
        <w:t xml:space="preserve">☐  Her “mutlaka” gerçekten zorunlu; her “tercihen” puanlanacak.</w:t>
      </w:r>
    </w:p>
    <w:p>
      <w:pPr>
        <w:spacing w:after="40" w:before="20" w:line="276"/>
        <w:ind w:left="200"/>
      </w:pPr>
      <w:r>
        <w:rPr>
          <w:rFonts w:ascii="Arial" w:cs="Arial" w:eastAsia="Arial" w:hAnsi="Arial"/>
          <w:color w:val="1C1917"/>
          <w:sz w:val="20"/>
          <w:szCs w:val="20"/>
        </w:rPr>
        <w:t xml:space="preserve">☐  Kabul testleri ölçülebilir ve sorumlu kişi belli.</w:t>
      </w:r>
    </w:p>
    <w:p>
      <w:pPr>
        <w:spacing w:after="40" w:before="20" w:line="276"/>
        <w:ind w:left="200"/>
      </w:pPr>
      <w:r>
        <w:rPr>
          <w:rFonts w:ascii="Arial" w:cs="Arial" w:eastAsia="Arial" w:hAnsi="Arial"/>
          <w:color w:val="1C1917"/>
          <w:sz w:val="20"/>
          <w:szCs w:val="20"/>
        </w:rPr>
        <w:t xml:space="preserve">☐  Aynı kalemin önceki alımlarından bilinen riskler şartnameye yansıtıldı.</w:t>
      </w:r>
    </w:p>
    <w:p>
      <w:pPr>
        <w:spacing w:after="40" w:before="20" w:line="276"/>
        <w:ind w:left="200"/>
      </w:pPr>
      <w:r>
        <w:rPr>
          <w:rFonts w:ascii="Arial" w:cs="Arial" w:eastAsia="Arial" w:hAnsi="Arial"/>
          <w:color w:val="1C1917"/>
          <w:sz w:val="20"/>
          <w:szCs w:val="20"/>
        </w:rPr>
        <w:t xml:space="preserve">☐  Şartname, alıcıyı belirtilmiş bir neden olmadan tek bir bölgeye, güzergâha veya alt kademe kaynağa bağlamıyor.</w:t>
      </w: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Tedarikçiler bir gereksinime taahhüt vermekte tereddüt ettiğinde bunu isteksizlik olarak değil, şartname hakkında bir bilgi olarak görün. Kâğıt üzerinde çözülemeyen bir tasarım sorusunda, kısa bir mühendislik çalışması veya prototip testi yapıp sonucu isteklilerle açıkça paylaşmak, belirsiz bir gereksinimi piyasanın fiyatlayabileceği bir gereksinime çoğu zaman dönüştürür.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Ad soyad</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İmza</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Tarih</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Talep eden</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Teknik sorumlu</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Satın alma</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NSM-02  Şartname ve İş Tanımı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Şartname ve İş Tanımı</dc:title>
  <dc:creator>NSM Sourcing</dc:creator>
  <dc:description>Neyin tedarik edileceğini, hangi standardı karşılaması gerektiğini ve kabulün nasıl yapılacağını tanımlar.</dc:description>
  <cp:lastModifiedBy>Un-named</cp:lastModifiedBy>
  <cp:revision>1</cp:revision>
  <dcterms:created xsi:type="dcterms:W3CDTF">2026-10-12T12:18:23.001Z</dcterms:created>
  <dcterms:modified xsi:type="dcterms:W3CDTF">2026-10-12T12:18:23.001Z</dcterms:modified>
</cp:coreProperties>
</file>

<file path=docProps/custom.xml><?xml version="1.0" encoding="utf-8"?>
<Properties xmlns="http://schemas.openxmlformats.org/officeDocument/2006/custom-properties" xmlns:vt="http://schemas.openxmlformats.org/officeDocument/2006/docPropsVTypes"/>
</file>