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NSM-00</w:t>
      </w:r>
    </w:p>
    <w:p>
      <w:pPr>
        <w:spacing w:after="80"/>
      </w:pPr>
      <w:r>
        <w:rPr>
          <w:rFonts w:ascii="Georgia" w:cs="Georgia" w:eastAsia="Georgia" w:hAnsi="Georgia"/>
          <w:b/>
          <w:bCs/>
          <w:color w:val="1C1917"/>
          <w:sz w:val="44"/>
          <w:szCs w:val="44"/>
        </w:rPr>
        <w:t xml:space="preserve">Satın Alma Şablon Kütüphanesi Rehberi</w:t>
      </w:r>
    </w:p>
    <w:p>
      <w:pPr>
        <w:spacing w:after="160" w:before="60" w:line="276"/>
      </w:pPr>
      <w:r>
        <w:rPr>
          <w:rFonts w:ascii="Arial" w:cs="Arial" w:eastAsia="Arial" w:hAnsi="Arial"/>
          <w:color w:val="57534E"/>
          <w:sz w:val="22"/>
          <w:szCs w:val="22"/>
        </w:rPr>
        <w:t xml:space="preserve">İş ihtiyacından sözleşmenin kapanışına kadar, satın alma ve tedarik döngüsü boyunca sıralanmış otuz beş uygulamalı şablon; yapay zekâ, jeopolitik risk ve yeni ticaret ve sürdürülebilirlik kurallarına göre güncellendi (Ekim 2026).</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Tüm aşamalar</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Bölüm 2’deki haritadan başlayın ve ihtiyacınızın tutarına, riskine ve karmaşıklığına uyan şablonları seçin. Düşük tutarlı ve düşük riskli bir alım için 01, 11, 21 ve 22 numaralı şablonlar yeterli olabilir.</w:t>
      </w:r>
    </w:p>
    <w:p>
      <w:pPr>
        <w:pStyle w:val="ListParagraph"/>
        <w:numPr>
          <w:ilvl w:val="0"/>
          <w:numId w:val="2"/>
        </w:numPr>
        <w:spacing w:after="30" w:before="10" w:line="276"/>
      </w:pPr>
      <w:r>
        <w:rPr>
          <w:rFonts w:ascii="Arial" w:cs="Arial" w:eastAsia="Arial" w:hAnsi="Arial"/>
          <w:color w:val="57534E"/>
          <w:sz w:val="19"/>
          <w:szCs w:val="19"/>
        </w:rPr>
        <w:t xml:space="preserve">[Köşeli parantez] içindeki metinler doldurulacak alanlardır. Gri italik metinler yazar için açıklamadır; doküman tedarikçilere gönderilmeden önce silinmelidir.</w:t>
      </w:r>
    </w:p>
    <w:p>
      <w:pPr>
        <w:pStyle w:val="ListParagraph"/>
        <w:numPr>
          <w:ilvl w:val="0"/>
          <w:numId w:val="2"/>
        </w:numPr>
        <w:spacing w:after="30" w:before="10" w:line="276"/>
      </w:pPr>
      <w:r>
        <w:rPr>
          <w:rFonts w:ascii="Arial" w:cs="Arial" w:eastAsia="Arial" w:hAnsi="Arial"/>
          <w:color w:val="57534E"/>
          <w:sz w:val="19"/>
          <w:szCs w:val="19"/>
        </w:rPr>
        <w:t xml:space="preserve">Excel şablonlarında açık sarı zeminli hücreler veri girişi içindir; diğer değerler hesaplanır. Her çalışma kitabı bir “Beni oku” sayfasıyla açılır.</w:t>
      </w:r>
    </w:p>
    <w:p>
      <w:pPr>
        <w:pStyle w:val="ListParagraph"/>
        <w:numPr>
          <w:ilvl w:val="0"/>
          <w:numId w:val="2"/>
        </w:numPr>
        <w:spacing w:after="30" w:before="10" w:line="276"/>
      </w:pPr>
      <w:r>
        <w:rPr>
          <w:rFonts w:ascii="Arial" w:cs="Arial" w:eastAsia="Arial" w:hAnsi="Arial"/>
          <w:color w:val="57534E"/>
          <w:sz w:val="19"/>
          <w:szCs w:val="19"/>
        </w:rPr>
        <w:t xml:space="preserve">Her şablonu kendi yetki devri limitlerinize, politikalarınıza ve yürürlükteki mevzuata göre uyarlayın. Kamu kurumları 4734 sayılı Kamu İhale Kanunu ve ilgili mevzuata tabidir; bu şablonlar özel sektör için hazırlanmıştır.</w:t>
      </w:r>
    </w:p>
    <w:p>
      <w:pPr>
        <w:keepNext/>
        <w:pBdr>
          <w:bottom w:val="single" w:color="A16207" w:sz="6" w:space="4"/>
        </w:pBdr>
        <w:spacing w:after="120" w:before="320"/>
      </w:pPr>
      <w:r>
        <w:rPr>
          <w:rFonts w:ascii="Georgia" w:cs="Georgia" w:eastAsia="Georgia" w:hAnsi="Georgia"/>
          <w:b/>
          <w:bCs/>
          <w:color w:val="1C1917"/>
          <w:sz w:val="28"/>
          <w:szCs w:val="28"/>
        </w:rPr>
        <w:t xml:space="preserve">1. Bu kütüphane ne işe yarar</w:t>
      </w:r>
    </w:p>
    <w:p>
      <w:pPr>
        <w:spacing w:after="100" w:before="60" w:line="276"/>
      </w:pPr>
      <w:r>
        <w:rPr>
          <w:rFonts w:ascii="Arial" w:cs="Arial" w:eastAsia="Arial" w:hAnsi="Arial"/>
          <w:color w:val="1C1917"/>
          <w:sz w:val="20"/>
          <w:szCs w:val="20"/>
        </w:rPr>
        <w:t xml:space="preserve">Ücretsiz satın alma şablonlarının çoğu ya tek bir formdur (sipariş, teklif isteği) ya da belirli bir finansman kuruluşu için yazılmış uzun kamu ihale dokümanlarıdır. İkisi de orta ölçekli bir özel sektör kuruluşundaki satın almacının bir tedarik projesini baştan sona yürütmesine yardımcı olmaz. Bu kütüphane bu boşluğu doldurur. Her şablon kısadır, mesleğin terminolojisini kullanır ve enerji, savunma ve ilaç sektörlerindeki kurum içi satın alma deneyiminden süzülmüş uygulama notları içerir.</w:t>
      </w:r>
    </w:p>
    <w:p>
      <w:pPr>
        <w:spacing w:after="100" w:before="60" w:line="276"/>
      </w:pPr>
      <w:r>
        <w:rPr>
          <w:rFonts w:ascii="Arial" w:cs="Arial" w:eastAsia="Arial" w:hAnsi="Arial"/>
          <w:color w:val="1C1917"/>
          <w:sz w:val="20"/>
          <w:szCs w:val="20"/>
        </w:rPr>
        <w:t xml:space="preserve">Kütüphane, CIPS Satın Alma ve Tedarik Döngüsü’nün yapısını izler; terminolojisi CIPS Global Standard for Procurement and Supply (2025 sürümü) ve CIPS Davranış Kuralları ile uyumludur. NSM Sourcing’in bağımsız bir çalışmasıdır ve CIPS tarafından onaylanmamıştır.</w:t>
      </w:r>
    </w:p>
    <w:p>
      <w:pPr>
        <w:keepNext/>
        <w:pBdr>
          <w:bottom w:val="single" w:color="A16207" w:sz="6" w:space="4"/>
        </w:pBdr>
        <w:spacing w:after="120" w:before="320"/>
      </w:pPr>
      <w:r>
        <w:rPr>
          <w:rFonts w:ascii="Georgia" w:cs="Georgia" w:eastAsia="Georgia" w:hAnsi="Georgia"/>
          <w:b/>
          <w:bCs/>
          <w:color w:val="1C1917"/>
          <w:sz w:val="28"/>
          <w:szCs w:val="28"/>
        </w:rPr>
        <w:t xml:space="preserve">2. Şablon haritası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71"/>
        <w:gridCol w:w="3469"/>
        <w:gridCol w:w="867"/>
        <w:gridCol w:w="2120"/>
        <w:gridCol w:w="2411"/>
      </w:tblGrid>
      <w:tr>
        <w:trPr>
          <w:cantSplit/>
          <w:tblHeader/>
        </w:trPr>
        <w:tc>
          <w:tcPr>
            <w:tcW w:type="dxa" w:w="77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No</w:t>
            </w:r>
          </w:p>
        </w:tc>
        <w:tc>
          <w:tcPr>
            <w:tcW w:type="dxa" w:w="34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Şablon</w:t>
            </w:r>
          </w:p>
        </w:tc>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Biçim</w:t>
            </w:r>
          </w:p>
        </w:tc>
        <w:tc>
          <w:tcPr>
            <w:tcW w:type="dxa" w:w="212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Döngü aşaması</w:t>
            </w:r>
          </w:p>
        </w:tc>
        <w:tc>
          <w:tcPr>
            <w:tcW w:type="dxa" w:w="241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Genellikle hazırlayan</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Talebi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Şartname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Talep eden, bütçe sahibi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02</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Şartname ve İş Tanımı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Şartname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Talep eden ve 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03</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Paydaş Haritası ve RACI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Şartname, Strateji</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04</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 Öncesi Yaklaşık Maliyet ve Olması Gereken Maliyet Modeli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Analiz</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maliyet mühendisliği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 Riski Kaydı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Analiz, Yönetim</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06</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Stratejisi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07</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Planı Kaydı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müdürü</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08</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Bilgi Talebi (RFI)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Piyasa</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09</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Ön Yeterlik Anketi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Kriterler</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kalite</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Yerinde Denetim Listesi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Kriterler</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Kalite ve 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11</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Teklif İsteği (RFQ)</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12</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İhaleye Davet (ITT / RFP)</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Dokümantasyon, İhale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 Cetveli ve Ticari Teklif</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İhale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İsteklilere gönderilir</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14</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 Kurulu Beyanı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Her değerlendirici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Teklif Değerlendirme Matrisi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 kurulu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Landed Cost ve TCO Hesaplayıcı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17</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Müzakere Planı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 Sözleşme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Müzakere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18</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 Kaynak Gerekçesi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 Sözleşme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Talep eden ve 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19</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Değerlendirme Raporu ve Karar Önerisi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20</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Karar, Sonuç Bildirimi ve Durdurma Yazıları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Teslimat</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21</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Siparişi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Teslimat</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22</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Mal Kabul ve Giriş Kontrol Raporu</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Teslimat</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Depo, kalite</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23</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Performans Karnesi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Performans</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sorumlusu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24</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Uygunsuzluk ve Düzeltici Faaliyet Talebi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Performans</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Kalite ve 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25</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ve Sipariş Sicili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Yönetim, Varlık</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müdürü</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Yapay Zekâ Kullanım Senaryosu ve Yönetişim Kaydı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Tüm aşamalar</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yönetimi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27</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Yapay Zekâ Aracı Alımı: Tedarikçi Anketi ve Sözleşme Kontrol Listesi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Kriterler, Sözleşme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BT ve hukuk</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28</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Siber Güvenlik Anketi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Kriterler, Performans</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ve bilgi güvenliği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29</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Jeopolitik ve Rota Maruziyeti Değerlendirmesi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Analiz, Yönetim</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Kategori yöneticisi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30</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Ticaret Uyum Kontrolü</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Piyasa, Sözleşme</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ve gümrük</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31</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 Sürekliliği Planı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Strateji, Yönetim</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Kategori yöneticisi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32</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Enerji ve Navlun Fiyat Ayarlama Hesaplayıcısı</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Performans</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33</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CBAM Gömülü Emisyon Veri Talebi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Piyasa, Teslimat</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sürdürülebilirlik</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34</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Zorla Çalıştırma ve İnsan Hakları Durum Tespiti Anketi</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Word</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Kriterler, Yönetim</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sürdürülebilirlik</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Sözleşme Uyumu ve Değer Kaybı Kontrolü</w:t>
            </w:r>
          </w:p>
        </w:tc>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Excel</w:t>
            </w:r>
          </w:p>
        </w:tc>
        <w:tc>
          <w:tcPr>
            <w:tcW w:type="dxa" w:w="212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Performans, Yönetim</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finans</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Doğru yolu seçmek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2891"/>
        <w:gridCol w:w="4242"/>
      </w:tblGrid>
      <w:tr>
        <w:trPr>
          <w:cantSplit/>
          <w:tblHeader/>
        </w:trPr>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Durum</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Önerilen şablonlar</w:t>
            </w:r>
          </w:p>
        </w:tc>
        <w:tc>
          <w:tcPr>
            <w:tcW w:type="dxa" w:w="424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Neden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Düşük tutar, standart kalem, birden çok tedarikçi</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01, 11, 13, 21, 22</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Karşılaştırılabilir üç teklif ve açık bir sipariş genellikle yeterlidir. Kaydı sade tutun.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Önemli harcama, rekabetçi piyasa</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01-07, 12-16, 19-23</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Belgelenmiş bir strateji, yaklaşık maliyet ve teklifler gelmeden önce belirlenmiş değerlendirme kriterleri değeri ve adaleti korur.</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Tanınmayan veya yoğunlaşmış tedarik piyasası</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05, 06, 08, 09, 10</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Önce piyasa ile temas ve tedarikçi değerlendirmesi gelir. Bilgi talebi ve yerinde denetimler ihaleden önce alanı genişletir.</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İthal mallar</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13, 16, 21, 22</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Tedarikçileri fabrika çıkış fiyatına göre değil, landed cost’a göre karşılaştırın; Incoterms 2020 kuralını belirtilen yerle birlikte kararlaştırın.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Yetkin tek bir tedarikçi</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04, 17, 18</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 kaynağı yazılı olarak gerekçelendirin; rekabetin yerine olması gereken maliyet modelini ve müzakere planını kullanın.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Performans sorunu olan yürürlükteki sözleşme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23, 24, 25, 35</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Mutabık kalınan KPI’lara göre ölçün, uygunsuzlukları resmî olarak bildirin, sözleşmedeki yaptırımları uygulayın ve imzadan sonra kaybedilen değeri geri alın.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İstikrarsız bölge veya güzergâhlardan tedarik</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05, 29, 31, 32</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Maruziyeti puanlayın, senaryoları sınayın, dayanma süresi ile toparlanma süresi arasındaki açığı kapatın ve plansız ek ücretler yerine bir endeks formülünde anlaşın.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Verinize dokunan yapay zekâ veya yazılım alımı</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26, 27, 28</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Yapay zekânın nerede kullanılacağına ve kimin kontrol edeceğine karar verin; veri kullanımını, güvenliği ve model değişikliklerini sözleşmeye yazın.</w:t>
            </w:r>
          </w:p>
        </w:tc>
      </w:tr>
      <w:tr>
        <w:trPr>
          <w:cantSplit/>
          <w:tblHeader w:val="false"/>
          <w:trHeight w:val="360" w:hRule="atLeast"/>
        </w:trPr>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CBAM kapsamındaki mallar veya yüksek riskli girdiler</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30, 33, 34</w:t>
            </w:r>
          </w:p>
        </w:tc>
        <w:tc>
          <w:tcPr>
            <w:tcW w:type="dxa" w:w="424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Doğrulanmış emisyon verisini ve durum tespiti kanıtlarını gümrükte değil, karardan önce toplayın.</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Her şablona yerleştirilmiş ilkeler</w:t>
      </w:r>
    </w:p>
    <w:p>
      <w:pPr>
        <w:pStyle w:val="ListParagraph"/>
        <w:numPr>
          <w:ilvl w:val="0"/>
          <w:numId w:val="2"/>
        </w:numPr>
        <w:spacing w:after="40" w:before="20" w:line="276"/>
      </w:pPr>
      <w:r>
        <w:rPr>
          <w:rFonts w:ascii="Arial" w:cs="Arial" w:eastAsia="Arial" w:hAnsi="Arial"/>
          <w:b/>
          <w:bCs/>
          <w:color w:val="1C1917"/>
          <w:sz w:val="20"/>
          <w:szCs w:val="20"/>
        </w:rPr>
        <w:t xml:space="preserve">Önce ihtiyaç, sonra çözüm.</w:t>
      </w:r>
      <w:r>
        <w:rPr>
          <w:rFonts w:ascii="Arial" w:cs="Arial" w:eastAsia="Arial" w:hAnsi="Arial"/>
          <w:color w:val="1C1917"/>
          <w:sz w:val="20"/>
          <w:szCs w:val="20"/>
        </w:rPr>
        <w:t xml:space="preserve"> İşin gerçekten neye ihtiyacı olduğunu, her zaman alınagelenden ayırın; piyasa alıcıdan daha çok bildiğinde gereksinimi sonuç olarak tanımlayın.</w:t>
      </w:r>
    </w:p>
    <w:p>
      <w:pPr>
        <w:pStyle w:val="ListParagraph"/>
        <w:numPr>
          <w:ilvl w:val="0"/>
          <w:numId w:val="2"/>
        </w:numPr>
        <w:spacing w:after="40" w:before="20" w:line="276"/>
      </w:pPr>
      <w:r>
        <w:rPr>
          <w:rFonts w:ascii="Arial" w:cs="Arial" w:eastAsia="Arial" w:hAnsi="Arial"/>
          <w:b/>
          <w:bCs/>
          <w:color w:val="1C1917"/>
          <w:sz w:val="20"/>
          <w:szCs w:val="20"/>
        </w:rPr>
        <w:t xml:space="preserve">İhaleden önce yaklaşık maliyet.</w:t>
      </w:r>
      <w:r>
        <w:rPr>
          <w:rFonts w:ascii="Arial" w:cs="Arial" w:eastAsia="Arial" w:hAnsi="Arial"/>
          <w:color w:val="1C1917"/>
          <w:sz w:val="20"/>
          <w:szCs w:val="20"/>
        </w:rPr>
        <w:t xml:space="preserve"> Bağımsız bir yaklaşık maliyet, teklifleri yalnızca birbiriyle değil, işin maliyetiyle karşılaştırmanızı sağlar.</w:t>
      </w:r>
    </w:p>
    <w:p>
      <w:pPr>
        <w:pStyle w:val="ListParagraph"/>
        <w:numPr>
          <w:ilvl w:val="0"/>
          <w:numId w:val="2"/>
        </w:numPr>
        <w:spacing w:after="40" w:before="20" w:line="276"/>
      </w:pPr>
      <w:r>
        <w:rPr>
          <w:rFonts w:ascii="Arial" w:cs="Arial" w:eastAsia="Arial" w:hAnsi="Arial"/>
          <w:b/>
          <w:bCs/>
          <w:color w:val="1C1917"/>
          <w:sz w:val="20"/>
          <w:szCs w:val="20"/>
        </w:rPr>
        <w:t xml:space="preserve">Tekliflerden önce kriterler.</w:t>
      </w:r>
      <w:r>
        <w:rPr>
          <w:rFonts w:ascii="Arial" w:cs="Arial" w:eastAsia="Arial" w:hAnsi="Arial"/>
          <w:color w:val="1C1917"/>
          <w:sz w:val="20"/>
          <w:szCs w:val="20"/>
        </w:rPr>
        <w:t xml:space="preserve"> Değerlendirme kriterleri, ağırlıklar ve vazgeçme noktaları herhangi bir teklif açılmadan önce kararlaştırılır ve kayda geçirilir.</w:t>
      </w:r>
    </w:p>
    <w:p>
      <w:pPr>
        <w:pStyle w:val="ListParagraph"/>
        <w:numPr>
          <w:ilvl w:val="0"/>
          <w:numId w:val="2"/>
        </w:numPr>
        <w:spacing w:after="40" w:before="20" w:line="276"/>
      </w:pPr>
      <w:r>
        <w:rPr>
          <w:rFonts w:ascii="Arial" w:cs="Arial" w:eastAsia="Arial" w:hAnsi="Arial"/>
          <w:b/>
          <w:bCs/>
          <w:color w:val="1C1917"/>
          <w:sz w:val="20"/>
          <w:szCs w:val="20"/>
        </w:rPr>
        <w:t xml:space="preserve">Fiyattan çok değer.</w:t>
      </w:r>
      <w:r>
        <w:rPr>
          <w:rFonts w:ascii="Arial" w:cs="Arial" w:eastAsia="Arial" w:hAnsi="Arial"/>
          <w:color w:val="1C1917"/>
          <w:sz w:val="20"/>
          <w:szCs w:val="20"/>
        </w:rPr>
        <w:t xml:space="preserve"> Karar yalnızca birim fiyata göre değil; kalite, risk, teslimat, toplam sahip olma maliyeti (TCO) ve ESG dikkate alınarak verilir.</w:t>
      </w:r>
    </w:p>
    <w:p>
      <w:pPr>
        <w:pStyle w:val="ListParagraph"/>
        <w:numPr>
          <w:ilvl w:val="0"/>
          <w:numId w:val="2"/>
        </w:numPr>
        <w:spacing w:after="40" w:before="20" w:line="276"/>
      </w:pPr>
      <w:r>
        <w:rPr>
          <w:rFonts w:ascii="Arial" w:cs="Arial" w:eastAsia="Arial" w:hAnsi="Arial"/>
          <w:b/>
          <w:bCs/>
          <w:color w:val="1C1917"/>
          <w:sz w:val="20"/>
          <w:szCs w:val="20"/>
        </w:rPr>
        <w:t xml:space="preserve">Adil ve şeffaf rekabet.</w:t>
      </w:r>
      <w:r>
        <w:rPr>
          <w:rFonts w:ascii="Arial" w:cs="Arial" w:eastAsia="Arial" w:hAnsi="Arial"/>
          <w:color w:val="1C1917"/>
          <w:sz w:val="20"/>
          <w:szCs w:val="20"/>
        </w:rPr>
        <w:t xml:space="preserve"> Her istekli aynı bilgiyi aynı anda alır; çıkarlar beyan edilir.</w:t>
      </w:r>
    </w:p>
    <w:p>
      <w:pPr>
        <w:pStyle w:val="ListParagraph"/>
        <w:numPr>
          <w:ilvl w:val="0"/>
          <w:numId w:val="2"/>
        </w:numPr>
        <w:spacing w:after="40" w:before="20" w:line="276"/>
      </w:pPr>
      <w:r>
        <w:rPr>
          <w:rFonts w:ascii="Arial" w:cs="Arial" w:eastAsia="Arial" w:hAnsi="Arial"/>
          <w:b/>
          <w:bCs/>
          <w:color w:val="1C1917"/>
          <w:sz w:val="20"/>
          <w:szCs w:val="20"/>
        </w:rPr>
        <w:t xml:space="preserve">Gerekçeyi kayda geçirin.</w:t>
      </w:r>
      <w:r>
        <w:rPr>
          <w:rFonts w:ascii="Arial" w:cs="Arial" w:eastAsia="Arial" w:hAnsi="Arial"/>
          <w:color w:val="1C1917"/>
          <w:sz w:val="20"/>
          <w:szCs w:val="20"/>
        </w:rPr>
        <w:t xml:space="preserve"> Kararlar iç ve dış denetimde savunulabilecek ölçüde belgelenir.</w:t>
      </w:r>
    </w:p>
    <w:p>
      <w:pPr>
        <w:pStyle w:val="ListParagraph"/>
        <w:numPr>
          <w:ilvl w:val="0"/>
          <w:numId w:val="2"/>
        </w:numPr>
        <w:spacing w:after="40" w:before="20" w:line="276"/>
      </w:pPr>
      <w:r>
        <w:rPr>
          <w:rFonts w:ascii="Arial" w:cs="Arial" w:eastAsia="Arial" w:hAnsi="Arial"/>
          <w:b/>
          <w:bCs/>
          <w:color w:val="1C1917"/>
          <w:sz w:val="20"/>
          <w:szCs w:val="20"/>
        </w:rPr>
        <w:t xml:space="preserve">Maliyetle birlikte dayanıklılık.</w:t>
      </w:r>
      <w:r>
        <w:rPr>
          <w:rFonts w:ascii="Arial" w:cs="Arial" w:eastAsia="Arial" w:hAnsi="Arial"/>
          <w:color w:val="1C1917"/>
          <w:sz w:val="20"/>
          <w:szCs w:val="20"/>
        </w:rPr>
        <w:t xml:space="preserve"> Tedarik sürekliliği, güzergâh maruziyeti ve ikinci kaynaklar fiyatla birlikte tartılır.</w:t>
      </w:r>
    </w:p>
    <w:p>
      <w:pPr>
        <w:pStyle w:val="ListParagraph"/>
        <w:numPr>
          <w:ilvl w:val="0"/>
          <w:numId w:val="2"/>
        </w:numPr>
        <w:spacing w:after="40" w:before="20" w:line="276"/>
      </w:pPr>
      <w:r>
        <w:rPr>
          <w:rFonts w:ascii="Arial" w:cs="Arial" w:eastAsia="Arial" w:hAnsi="Arial"/>
          <w:b/>
          <w:bCs/>
          <w:color w:val="1C1917"/>
          <w:sz w:val="20"/>
          <w:szCs w:val="20"/>
        </w:rPr>
        <w:t xml:space="preserve">Yapay zekâ destekler, insan karar verir.</w:t>
      </w:r>
      <w:r>
        <w:rPr>
          <w:rFonts w:ascii="Arial" w:cs="Arial" w:eastAsia="Arial" w:hAnsi="Arial"/>
          <w:color w:val="1C1917"/>
          <w:sz w:val="20"/>
          <w:szCs w:val="20"/>
        </w:rPr>
        <w:t xml:space="preserve"> Yapay zekâ taslak hazırlayabilir, analiz ve kontrol yapabilir; karar, değerlendirme dışı bırakma ve müzakere pozisyonları adı belli kişilerde kalır.</w:t>
      </w:r>
    </w:p>
    <w:p>
      <w:pPr>
        <w:keepNext/>
        <w:pBdr>
          <w:bottom w:val="single" w:color="A16207" w:sz="6" w:space="4"/>
        </w:pBdr>
        <w:spacing w:after="120" w:before="320"/>
      </w:pPr>
      <w:r>
        <w:rPr>
          <w:rFonts w:ascii="Georgia" w:cs="Georgia" w:eastAsia="Georgia" w:hAnsi="Georgia"/>
          <w:b/>
          <w:bCs/>
          <w:color w:val="1C1917"/>
          <w:sz w:val="28"/>
          <w:szCs w:val="28"/>
        </w:rPr>
        <w:t xml:space="preserve">5. 2025 ve 2026’da ne değişti, kütüphane nasıl yanıt veriyor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9"/>
        <w:gridCol w:w="3855"/>
        <w:gridCol w:w="2314"/>
      </w:tblGrid>
      <w:tr>
        <w:trPr>
          <w:cantSplit/>
          <w:tblHeader/>
        </w:trPr>
        <w:tc>
          <w:tcPr>
            <w:tcW w:type="dxa" w:w="34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Gelişme (Ekim 2026 itibarıyla)</w:t>
            </w:r>
          </w:p>
        </w:tc>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Alıcı için anlamı</w:t>
            </w:r>
          </w:p>
        </w:tc>
        <w:tc>
          <w:tcPr>
            <w:tcW w:type="dxa" w:w="231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Şablonlar</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 sürekliliği, maliyet düşürmenin önüne geçerek satın almanın bir numaralı hedefi oldu; ticaret savaşları en büyük ikinci risk (Hackett Group, 2026).</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Dayanıklılık varsayılmaz; planlanır ve ölçülür.</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05, 06, 29, 31</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Satın alma birimlerinin yüzde 71’i üretken yapay zekâyı pilot veya yaygın ölçekte benimsedi, yüzde 56’sı ajan tabanlı yapay zekâ kullanıyor; ancak yalnızca yüzde 12-13’ü yaygın kullanıma ulaştı (Hackett Group, 2026).</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Yapay zekânın değer üretip üretmeyeceğini yönetişim, veri kalitesi ve insan kontrol noktaları belirler.</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Hürmüz Boğazı Ağustos 2026 itibarıyla fiilen kapalı; Brent 9 Ekim 2026’da 105,72 dolar; konteyner hatları Temmuz 2026’dan itibaren kademeli olarak Süveyş’e dönüyor.</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Enerji ve navlun ek ücretleri; daha uzun ve belirsiz transit süreleri.</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16, 29, 32</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ABD’nin IEEPA tarifeleri 20 Şubat 2026’da iptal edildi; Section 122 ek vergisinin süresi 24 Temmuz 2026’da doldu; Section 232 ve 301 tarifeleri sürüyor.</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Menşe, GTİP ve yeni vergilerin paylaşımı kaynak kararlarına ve sözleşmelere girer.</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13, 17, 30</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AB Sınırda Karbon Düzenleme Mekanizması (CBAM) kesin dönemi 1 Ocak 2026’da başladı; 2026 ithalatı için ilk beyan 30 Eylül 2027’ye kadar verilecek.</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Gömülü emisyonlar demir çelik, alüminyum, çimento, gübre ve hidrojende landed cost’un parçası olur.</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16, 30, 33</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AB Zorla Çalıştırma Tüzüğü 14 Aralık 2027’den itibaren uygulanıyor; CSDDD daraltıldı ve 2029’a ertelendi.</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Tedarikçiler ve yüksek riskli girdiler için orantılı ve belgelenmiş durum tespiti.</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09, 30, 34</w:t>
            </w:r>
          </w:p>
        </w:tc>
      </w:tr>
      <w:tr>
        <w:trPr>
          <w:cantSplit/>
          <w:tblHeader w:val="false"/>
          <w:trHeight w:val="360" w:hRule="atLeast"/>
        </w:trPr>
        <w:tc>
          <w:tcPr>
            <w:tcW w:type="dxa" w:w="34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AB Yapay Zekâ Yasası’nın şeffaflık yükümlülükleri 2 Ağustos 2026’da başladı; bağımsız yüksek risk yükümlülükleri 2 Aralık 2027’ye ertelendi.</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Yapay zekâ kullanımlarını tarayın; şeffaflık ve kontrolü sözleşmeye yazın.</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26, 27</w:t>
            </w:r>
          </w:p>
        </w:tc>
      </w:tr>
    </w:tbl>
    <w:p>
      <w:pPr>
        <w:spacing w:after="60" w:before="0" w:line="276"/>
      </w:pPr>
    </w:p>
    <w:p>
      <w:pPr>
        <w:spacing w:after="100" w:before="60" w:line="276"/>
      </w:pPr>
      <w:r>
        <w:rPr>
          <w:rFonts w:ascii="Arial" w:cs="Arial" w:eastAsia="Arial" w:hAnsi="Arial"/>
          <w:color w:val="1C1917"/>
          <w:sz w:val="20"/>
          <w:szCs w:val="20"/>
        </w:rPr>
        <w:t xml:space="preserve">Bu bilgiler değişir. Dayanmadan önce yeniden kontrol edin; kaynaklar bölüm 7’de listelenmiştir.</w:t>
      </w:r>
    </w:p>
    <w:p>
      <w:pPr>
        <w:keepNext/>
        <w:pBdr>
          <w:bottom w:val="single" w:color="A16207" w:sz="6" w:space="4"/>
        </w:pBdr>
        <w:spacing w:after="120" w:before="320"/>
      </w:pPr>
      <w:r>
        <w:rPr>
          <w:rFonts w:ascii="Georgia" w:cs="Georgia" w:eastAsia="Georgia" w:hAnsi="Georgia"/>
          <w:b/>
          <w:bCs/>
          <w:color w:val="1C1917"/>
          <w:sz w:val="28"/>
          <w:szCs w:val="28"/>
        </w:rPr>
        <w:t xml:space="preserve">6. Kütüphane nasıl hazırlandı</w:t>
      </w:r>
    </w:p>
    <w:p>
      <w:pPr>
        <w:spacing w:after="100" w:before="60" w:line="276"/>
      </w:pPr>
      <w:r>
        <w:rPr>
          <w:rFonts w:ascii="Arial" w:cs="Arial" w:eastAsia="Arial" w:hAnsi="Arial"/>
          <w:color w:val="1C1917"/>
          <w:sz w:val="20"/>
          <w:szCs w:val="20"/>
        </w:rPr>
        <w:t xml:space="preserve">Kütüphane, yaygın kullanılan ücretsiz satın alma formlarının ve Dünya Bankası standart ihale dokümanlarının incelenmesiyle ve AcqNotes’un yayımladığı ABD savunma tedarik şablonları listesinden yararlanılarak şekillendirildi. Bu kaynaklardan ayrı bir ihale veri föyü ve gerçek faydalanıcı beyanı gibi birkaç fikir uyarlandı. Metin kopyalanmadı; tüm içerik özel sektör alıcıları için yeniden yazıldı ve kaynaklarla örtüşmeye karşı kontrol edildi.</w:t>
      </w:r>
    </w:p>
    <w:p>
      <w:pPr>
        <w:spacing w:after="100" w:before="60" w:line="276"/>
      </w:pPr>
      <w:r>
        <w:rPr>
          <w:rFonts w:ascii="Arial" w:cs="Arial" w:eastAsia="Arial" w:hAnsi="Arial"/>
          <w:b/>
          <w:bCs/>
          <w:color w:val="1C1917"/>
          <w:sz w:val="20"/>
          <w:szCs w:val="20"/>
        </w:rPr>
        <w:t xml:space="preserve">Lisans.</w:t>
      </w:r>
      <w:r>
        <w:rPr>
          <w:rFonts w:ascii="Arial" w:cs="Arial" w:eastAsia="Arial" w:hAnsi="Arial"/>
          <w:color w:val="1C1917"/>
          <w:sz w:val="20"/>
          <w:szCs w:val="20"/>
        </w:rPr>
        <w:t xml:space="preserve"> Şablonlar Creative Commons Atıf 4.0 Uluslararası lisansıyla (CC BY 4.0) yayımlanır. Kaynak olarak NSM Sourcing (nsmsourcing.com) belirtilmek koşuluyla, ticari amaçlar dahil kopyalanabilir, uyarlanabilir ve kullanılabilir: creativecommons.org/licenses/by/4.0</w:t>
      </w:r>
    </w:p>
    <w:p>
      <w:pPr>
        <w:keepNext/>
        <w:pBdr>
          <w:bottom w:val="single" w:color="A16207" w:sz="6" w:space="4"/>
        </w:pBdr>
        <w:spacing w:after="120" w:before="320"/>
      </w:pPr>
      <w:r>
        <w:rPr>
          <w:rFonts w:ascii="Georgia" w:cs="Georgia" w:eastAsia="Georgia" w:hAnsi="Georgia"/>
          <w:b/>
          <w:bCs/>
          <w:color w:val="1C1917"/>
          <w:sz w:val="28"/>
          <w:szCs w:val="28"/>
        </w:rPr>
        <w:t xml:space="preserve">7. Kaynaklar</w:t>
      </w:r>
    </w:p>
    <w:p>
      <w:pPr>
        <w:pStyle w:val="ListParagraph"/>
        <w:numPr>
          <w:ilvl w:val="0"/>
          <w:numId w:val="2"/>
        </w:numPr>
        <w:spacing w:after="40" w:before="20" w:line="276"/>
      </w:pPr>
      <w:r>
        <w:rPr>
          <w:rFonts w:ascii="Arial" w:cs="Arial" w:eastAsia="Arial" w:hAnsi="Arial"/>
          <w:color w:val="1C1917"/>
          <w:sz w:val="20"/>
          <w:szCs w:val="20"/>
        </w:rPr>
        <w:t xml:space="preserve">The Hackett Group, 2026 Procurement Agenda and Key Issues, Ironclad özeti: ironcladapp.com/resources/articles/cpo-agenda-key-takeaways</w:t>
      </w:r>
    </w:p>
    <w:p>
      <w:pPr>
        <w:pStyle w:val="ListParagraph"/>
        <w:numPr>
          <w:ilvl w:val="0"/>
          <w:numId w:val="2"/>
        </w:numPr>
        <w:spacing w:after="40" w:before="20" w:line="276"/>
      </w:pPr>
      <w:r>
        <w:rPr>
          <w:rFonts w:ascii="Arial" w:cs="Arial" w:eastAsia="Arial" w:hAnsi="Arial"/>
          <w:color w:val="1C1917"/>
          <w:sz w:val="20"/>
          <w:szCs w:val="20"/>
        </w:rPr>
        <w:t xml:space="preserve">BCG, From AI assistance to agentic orchestration in procurement (Temmuz 2026): bcg.com</w:t>
      </w:r>
    </w:p>
    <w:p>
      <w:pPr>
        <w:pStyle w:val="ListParagraph"/>
        <w:numPr>
          <w:ilvl w:val="0"/>
          <w:numId w:val="2"/>
        </w:numPr>
        <w:spacing w:after="40" w:before="20" w:line="276"/>
      </w:pPr>
      <w:r>
        <w:rPr>
          <w:rFonts w:ascii="Arial" w:cs="Arial" w:eastAsia="Arial" w:hAnsi="Arial"/>
          <w:color w:val="1C1917"/>
          <w:sz w:val="20"/>
          <w:szCs w:val="20"/>
        </w:rPr>
        <w:t xml:space="preserve">Fortune, 9 Ekim 2026 petrol fiyatı: fortune.com/article/price-of-oil-10-09-2026</w:t>
      </w:r>
    </w:p>
    <w:p>
      <w:pPr>
        <w:pStyle w:val="ListParagraph"/>
        <w:numPr>
          <w:ilvl w:val="0"/>
          <w:numId w:val="2"/>
        </w:numPr>
        <w:spacing w:after="40" w:before="20" w:line="276"/>
      </w:pPr>
      <w:r>
        <w:rPr>
          <w:rFonts w:ascii="Arial" w:cs="Arial" w:eastAsia="Arial" w:hAnsi="Arial"/>
          <w:color w:val="1C1917"/>
          <w:sz w:val="20"/>
          <w:szCs w:val="20"/>
        </w:rPr>
        <w:t xml:space="preserve">Maritime Gateway, Süveyş Kanalı’na dönüş (13 Temmuz 2026): maritimegateway.com/suez-canal-return</w:t>
      </w:r>
    </w:p>
    <w:p>
      <w:pPr>
        <w:pStyle w:val="ListParagraph"/>
        <w:numPr>
          <w:ilvl w:val="0"/>
          <w:numId w:val="2"/>
        </w:numPr>
        <w:spacing w:after="40" w:before="20" w:line="276"/>
      </w:pPr>
      <w:r>
        <w:rPr>
          <w:rFonts w:ascii="Arial" w:cs="Arial" w:eastAsia="Arial" w:hAnsi="Arial"/>
          <w:color w:val="1C1917"/>
          <w:sz w:val="20"/>
          <w:szCs w:val="20"/>
        </w:rPr>
        <w:t xml:space="preserve">Global Trade Alert, From IEEPA to Section 122: globaltradealert.org/blog/from-ieepa-to-section-122</w:t>
      </w:r>
    </w:p>
    <w:p>
      <w:pPr>
        <w:pStyle w:val="ListParagraph"/>
        <w:numPr>
          <w:ilvl w:val="0"/>
          <w:numId w:val="2"/>
        </w:numPr>
        <w:spacing w:after="40" w:before="20" w:line="276"/>
      </w:pPr>
      <w:r>
        <w:rPr>
          <w:rFonts w:ascii="Arial" w:cs="Arial" w:eastAsia="Arial" w:hAnsi="Arial"/>
          <w:color w:val="1C1917"/>
          <w:sz w:val="20"/>
          <w:szCs w:val="20"/>
        </w:rPr>
        <w:t xml:space="preserve">Linklaters, AB CBAM sadeleştirmesi: sustainablefutures.linklaters.com</w:t>
      </w:r>
    </w:p>
    <w:p>
      <w:pPr>
        <w:pStyle w:val="ListParagraph"/>
        <w:numPr>
          <w:ilvl w:val="0"/>
          <w:numId w:val="2"/>
        </w:numPr>
        <w:spacing w:after="40" w:before="20" w:line="276"/>
      </w:pPr>
      <w:r>
        <w:rPr>
          <w:rFonts w:ascii="Arial" w:cs="Arial" w:eastAsia="Arial" w:hAnsi="Arial"/>
          <w:color w:val="1C1917"/>
          <w:sz w:val="20"/>
          <w:szCs w:val="20"/>
        </w:rPr>
        <w:t xml:space="preserve">Baker McKenzie, AB Zorla Çalıştırma Tüzüğü rehberi (Ağustos 2026): globalimportblog.bakermckenzie.com</w:t>
      </w:r>
    </w:p>
    <w:p>
      <w:pPr>
        <w:pStyle w:val="ListParagraph"/>
        <w:numPr>
          <w:ilvl w:val="0"/>
          <w:numId w:val="2"/>
        </w:numPr>
        <w:spacing w:after="40" w:before="20" w:line="276"/>
      </w:pPr>
      <w:r>
        <w:rPr>
          <w:rFonts w:ascii="Arial" w:cs="Arial" w:eastAsia="Arial" w:hAnsi="Arial"/>
          <w:color w:val="1C1917"/>
          <w:sz w:val="20"/>
          <w:szCs w:val="20"/>
        </w:rPr>
        <w:t xml:space="preserve">Clifford Chance, Omnibus I: CSDDD ve CSRD reformları (Şubat 2026): cliffordchance.com</w:t>
      </w:r>
    </w:p>
    <w:p>
      <w:pPr>
        <w:pStyle w:val="ListParagraph"/>
        <w:numPr>
          <w:ilvl w:val="0"/>
          <w:numId w:val="2"/>
        </w:numPr>
        <w:spacing w:after="40" w:before="20" w:line="276"/>
      </w:pPr>
      <w:r>
        <w:rPr>
          <w:rFonts w:ascii="Arial" w:cs="Arial" w:eastAsia="Arial" w:hAnsi="Arial"/>
          <w:color w:val="1C1917"/>
          <w:sz w:val="20"/>
          <w:szCs w:val="20"/>
        </w:rPr>
        <w:t xml:space="preserve">Gibson Dunn, AB Yapay Zekâ Yasası Omnibus anlaşması (Mayıs 2026): gibsondunn.com</w:t>
      </w:r>
    </w:p>
    <w:p>
      <w:pPr>
        <w:pStyle w:val="ListParagraph"/>
        <w:numPr>
          <w:ilvl w:val="0"/>
          <w:numId w:val="2"/>
        </w:numPr>
        <w:spacing w:after="40" w:before="20" w:line="276"/>
      </w:pPr>
      <w:r>
        <w:rPr>
          <w:rFonts w:ascii="Arial" w:cs="Arial" w:eastAsia="Arial" w:hAnsi="Arial"/>
          <w:color w:val="1C1917"/>
          <w:sz w:val="20"/>
          <w:szCs w:val="20"/>
        </w:rPr>
        <w:t xml:space="preserve">CIPS, Procurement and Supply Cycle ve Code of Conduct: cips.org</w:t>
      </w:r>
    </w:p>
    <w:p>
      <w:pPr>
        <w:pStyle w:val="ListParagraph"/>
        <w:numPr>
          <w:ilvl w:val="0"/>
          <w:numId w:val="2"/>
        </w:numPr>
        <w:spacing w:after="40" w:before="20" w:line="276"/>
      </w:pPr>
      <w:r>
        <w:rPr>
          <w:rFonts w:ascii="Arial" w:cs="Arial" w:eastAsia="Arial" w:hAnsi="Arial"/>
          <w:color w:val="1C1917"/>
          <w:sz w:val="20"/>
          <w:szCs w:val="20"/>
        </w:rPr>
        <w:t xml:space="preserve">AcqNotes, şablon listesi: acqnotes.com/acqnote/tools/templates</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Şablonlar muhakemeyi destekler, yerine geçmez. Bir şablondaki soru sizin durumunuza uymuyorsa silmek yerine “uygulanmaz” yazın ve nedenini belirtin. Dosyayı sonra okuyacak kişi için en yararlı satır çoğu zaman bu nedendir.</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NSM-00  Satın Alma Şablon Kütüphanesi Rehberi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Satın Alma Şablon Kütüphanesi Rehberi</dc:title>
  <dc:creator>NSM Sourcing</dc:creator>
  <dc:description>İş ihtiyacından sözleşmenin kapanışına kadar, satın alma ve tedarik döngüsü boyunca sıralanmış otuz beş uygulamalı şablon; yapay zekâ, jeopolitik risk ve yeni ticaret ve sürdürülebilirlik kurallarına göre güncellendi (Ekim 2026).</dc:description>
  <cp:lastModifiedBy>Un-named</cp:lastModifiedBy>
  <cp:revision>1</cp:revision>
  <dcterms:created xsi:type="dcterms:W3CDTF">2026-10-12T12:18:22.822Z</dcterms:created>
  <dcterms:modified xsi:type="dcterms:W3CDTF">2026-10-12T12:18:22.822Z</dcterms:modified>
</cp:coreProperties>
</file>

<file path=docProps/custom.xml><?xml version="1.0" encoding="utf-8"?>
<Properties xmlns="http://schemas.openxmlformats.org/officeDocument/2006/custom-properties" xmlns:vt="http://schemas.openxmlformats.org/officeDocument/2006/docPropsVTypes"/>
</file>