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NSM-34</w:t>
      </w:r>
    </w:p>
    <w:p>
      <w:pPr>
        <w:spacing w:after="80"/>
      </w:pPr>
      <w:r>
        <w:rPr>
          <w:rFonts w:ascii="Georgia" w:cs="Georgia" w:eastAsia="Georgia" w:hAnsi="Georgia"/>
          <w:b/>
          <w:bCs/>
          <w:color w:val="1C1917"/>
          <w:sz w:val="44"/>
          <w:szCs w:val="44"/>
        </w:rPr>
        <w:t xml:space="preserve">Forced Labour and Human Rights Due Diligence Questionnaire</w:t>
      </w:r>
    </w:p>
    <w:p>
      <w:pPr>
        <w:spacing w:after="160" w:before="60" w:line="276"/>
      </w:pPr>
      <w:r>
        <w:rPr>
          <w:rFonts w:ascii="Arial" w:cs="Arial" w:eastAsia="Arial" w:hAnsi="Arial"/>
          <w:color w:val="57534E"/>
          <w:sz w:val="22"/>
          <w:szCs w:val="22"/>
        </w:rPr>
        <w:t xml:space="preserve">A proportionate questionnaire for suppliers of higher-risk goods and services, built around the OECD due diligence steps and the ILO indicators of forced labour.</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Criteria, Management</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Complete section 1 internally first. Send the questionnaire only where the priority is medium or high; for low-priority suppliers a signed code of conduct is usually enough.</w:t>
      </w:r>
    </w:p>
    <w:p>
      <w:pPr>
        <w:pStyle w:val="ListParagraph"/>
        <w:numPr>
          <w:ilvl w:val="0"/>
          <w:numId w:val="2"/>
        </w:numPr>
        <w:spacing w:after="30" w:before="10" w:line="276"/>
      </w:pPr>
      <w:r>
        <w:rPr>
          <w:rFonts w:ascii="Arial" w:cs="Arial" w:eastAsia="Arial" w:hAnsi="Arial"/>
          <w:color w:val="57534E"/>
          <w:sz w:val="19"/>
          <w:szCs w:val="19"/>
        </w:rPr>
        <w:t xml:space="preserve">Ask for evidence, not only answers. A yes without a document or a site visit is a statement, not assurance.</w:t>
      </w:r>
    </w:p>
    <w:p>
      <w:pPr>
        <w:pStyle w:val="ListParagraph"/>
        <w:numPr>
          <w:ilvl w:val="0"/>
          <w:numId w:val="2"/>
        </w:numPr>
        <w:spacing w:after="30" w:before="10" w:line="276"/>
      </w:pPr>
      <w:r>
        <w:rPr>
          <w:rFonts w:ascii="Arial" w:cs="Arial" w:eastAsia="Arial" w:hAnsi="Arial"/>
          <w:color w:val="57534E"/>
          <w:sz w:val="19"/>
          <w:szCs w:val="19"/>
        </w:rPr>
        <w:t xml:space="preserve">Treat findings as a starting point for improvement. Ending a relationship is the last resort and should be planned so that it does not leave workers worse off.</w:t>
      </w:r>
    </w:p>
    <w:p>
      <w:pPr>
        <w:keepNext/>
        <w:pBdr>
          <w:bottom w:val="single" w:color="A16207" w:sz="6" w:space="4"/>
        </w:pBdr>
        <w:spacing w:after="120" w:before="320"/>
      </w:pPr>
      <w:r>
        <w:rPr>
          <w:rFonts w:ascii="Georgia" w:cs="Georgia" w:eastAsia="Georgia" w:hAnsi="Georgia"/>
          <w:b/>
          <w:bCs/>
          <w:color w:val="1C1917"/>
          <w:sz w:val="28"/>
          <w:szCs w:val="28"/>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Organisation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Reference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Version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Prepared by (name, role)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and approved by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Classification (e.g. internal, confidential)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Prioritisation (internal)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6"/>
        <w:gridCol w:w="4433"/>
        <w:gridCol w:w="1929"/>
      </w:tblGrid>
      <w:tr>
        <w:trPr>
          <w:cantSplit/>
          <w:tblHeader/>
        </w:trPr>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Factor</w:t>
            </w:r>
          </w:p>
        </w:tc>
        <w:tc>
          <w:tcPr>
            <w:tcW w:type="dxa" w:w="443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Assessment</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Risk (H/M/L)</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Product and raw materials</w:t>
            </w:r>
          </w:p>
        </w:tc>
        <w:tc>
          <w:tcPr>
            <w:tcW w:type="dxa" w:w="443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[Inputs named as high-risk in official guidance or credible reports]</w:t>
            </w: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Country and region of production</w:t>
            </w:r>
          </w:p>
        </w:tc>
        <w:tc>
          <w:tcPr>
            <w:tcW w:type="dxa" w:w="443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[Including where raw materials come from]</w:t>
            </w: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Workforce model</w:t>
            </w:r>
          </w:p>
        </w:tc>
        <w:tc>
          <w:tcPr>
            <w:tcW w:type="dxa" w:w="443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[Migrant, agency, seasonal or dormitory-based workers]</w:t>
            </w: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Visibility of the sub-tier</w:t>
            </w:r>
          </w:p>
        </w:tc>
        <w:tc>
          <w:tcPr>
            <w:tcW w:type="dxa" w:w="443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[Known down to raw material, or not]</w:t>
            </w: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Our spend and leverage</w:t>
            </w:r>
          </w:p>
        </w:tc>
        <w:tc>
          <w:tcPr>
            <w:tcW w:type="dxa" w:w="443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[Share of the supplier's turnover]</w:t>
            </w: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Overall priority and depth of review (questionnaire, evidence, audit, site visit)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Related templates: trade compliance check (30), risk register (05)</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spacing w:after="100" w:before="60" w:line="276"/>
      </w:pPr>
      <w:r>
        <w:rPr>
          <w:rFonts w:ascii="Arial" w:cs="Arial" w:eastAsia="Arial" w:hAnsi="Arial"/>
          <w:i/>
          <w:iCs/>
          <w:color w:val="57534E"/>
          <w:sz w:val="18"/>
          <w:szCs w:val="18"/>
        </w:rPr>
        <w:t xml:space="preserve">The EU Forced Labour Regulation applies from 14 December 2027 and prohibits placing products made with forced labour on the EU market or exporting them. The Commission guidelines of June 2026 follow the OECD due diligence steps. The CSDDD now applies only to very large companies from 2029, but those companies will ask their suppliers for the same evidence. This questionnaire is not legal advice.</w:t>
      </w:r>
    </w:p>
    <w:p>
      <w:pPr>
        <w:keepNext/>
        <w:pBdr>
          <w:bottom w:val="single" w:color="A16207" w:sz="6" w:space="4"/>
        </w:pBdr>
        <w:spacing w:after="120" w:before="320"/>
      </w:pPr>
      <w:r>
        <w:rPr>
          <w:rFonts w:ascii="Georgia" w:cs="Georgia" w:eastAsia="Georgia" w:hAnsi="Georgia"/>
          <w:b/>
          <w:bCs/>
          <w:color w:val="1C1917"/>
          <w:sz w:val="28"/>
          <w:szCs w:val="28"/>
        </w:rPr>
        <w:t xml:space="preserve">2. Supplier information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Company name and sites producing for us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Total workforce, with numbers of temporary, agency and migrant workers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Labour agencies and recruiters used, and the countries they recruit in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Main sub-suppliers of high-risk inputs and their countries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Policy and management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75"/>
        <w:gridCol w:w="1156"/>
        <w:gridCol w:w="2507"/>
      </w:tblGrid>
      <w:tr>
        <w:trPr>
          <w:cantSplit/>
          <w:tblHeader/>
        </w:trPr>
        <w:tc>
          <w:tcPr>
            <w:tcW w:type="dxa" w:w="597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Question</w:t>
            </w:r>
          </w:p>
        </w:tc>
        <w:tc>
          <w:tcPr>
            <w:tcW w:type="dxa" w:w="11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Yes / No</w:t>
            </w:r>
          </w:p>
        </w:tc>
        <w:tc>
          <w:tcPr>
            <w:tcW w:type="dxa" w:w="250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Evidence</w:t>
            </w: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 written, board-approved policy covers forced labour, child labour and responsible recruitment.</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 named person is responsible for human rights in operations and supply chain.</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The same requirements are written into contracts with your suppliers and labour agencies.</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Managers, recruiters and supervisors are trained on them.</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Recruitment and working conditions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75"/>
        <w:gridCol w:w="1156"/>
        <w:gridCol w:w="2507"/>
      </w:tblGrid>
      <w:tr>
        <w:trPr>
          <w:cantSplit/>
          <w:tblHeader/>
        </w:trPr>
        <w:tc>
          <w:tcPr>
            <w:tcW w:type="dxa" w:w="597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Question</w:t>
            </w:r>
          </w:p>
        </w:tc>
        <w:tc>
          <w:tcPr>
            <w:tcW w:type="dxa" w:w="11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Yes / No</w:t>
            </w:r>
          </w:p>
        </w:tc>
        <w:tc>
          <w:tcPr>
            <w:tcW w:type="dxa" w:w="250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Evidence</w:t>
            </w: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No worker pays recruitment fees or related costs; the employer pays them (employer pays principle).</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Workers keep their own passports and identity documents.</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Wages are paid in full, on time and directly to the worker, with a payslip.</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No deposits, loans or wage deductions tie workers to the job.</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Overtime is voluntary and within legal limits.</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Workers can resign with reasonable notice and move freely, including from employer-provided housing.</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Written contracts in a language the worker understands are given before recruitment or departure.</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 confidential grievance channel is available and complaints are handled without retaliation.</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Workers can join or form worker organisations.</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97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Age is verified at hiring and young workers are protected from hazardous work.</w:t>
            </w: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50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spacing w:after="100" w:before="60" w:line="276"/>
      </w:pPr>
      <w:r>
        <w:rPr>
          <w:rFonts w:ascii="Arial" w:cs="Arial" w:eastAsia="Arial" w:hAnsi="Arial"/>
          <w:i/>
          <w:iCs/>
          <w:color w:val="57534E"/>
          <w:sz w:val="18"/>
          <w:szCs w:val="18"/>
        </w:rPr>
        <w:t xml:space="preserve">The questions follow the ILO's eleven indicators of forced labour: abuse of vulnerability, deception, restriction of movement, isolation, physical and sexual violence, intimidation and threats, retention of identity documents, withholding of wages, debt bondage, abusive working and living conditions and excessive overtime. One indicator does not prove forced labour, but each needs follow-up.</w:t>
      </w:r>
    </w:p>
    <w:p>
      <w:pPr>
        <w:keepNext/>
        <w:pBdr>
          <w:bottom w:val="single" w:color="A16207" w:sz="6" w:space="4"/>
        </w:pBdr>
        <w:spacing w:after="120" w:before="320"/>
      </w:pPr>
      <w:r>
        <w:rPr>
          <w:rFonts w:ascii="Georgia" w:cs="Georgia" w:eastAsia="Georgia" w:hAnsi="Georgia"/>
          <w:b/>
          <w:bCs/>
          <w:color w:val="1C1917"/>
          <w:sz w:val="28"/>
          <w:szCs w:val="28"/>
        </w:rPr>
        <w:t xml:space="preserve">5. Traceability of high-risk inputs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0"/>
        <w:gridCol w:w="2120"/>
        <w:gridCol w:w="1927"/>
        <w:gridCol w:w="3471"/>
      </w:tblGrid>
      <w:tr>
        <w:trPr>
          <w:cantSplit/>
          <w:tblHeader/>
        </w:trPr>
        <w:tc>
          <w:tcPr>
            <w:tcW w:type="dxa" w:w="212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Input</w:t>
            </w:r>
          </w:p>
        </w:tc>
        <w:tc>
          <w:tcPr>
            <w:tcW w:type="dxa" w:w="212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Sub-supplier</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Country of raw material</w:t>
            </w:r>
          </w:p>
        </w:tc>
        <w:tc>
          <w:tcPr>
            <w:tcW w:type="dxa" w:w="347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Evidence (origin documents, traceability data, audits)</w:t>
            </w:r>
          </w:p>
        </w:tc>
      </w:tr>
      <w:tr>
        <w:trPr>
          <w:cantSplit/>
          <w:tblHeader w:val="false"/>
          <w:trHeight w:val="360" w:hRule="atLeast"/>
        </w:trPr>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34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34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34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34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6. Monitoring and remediation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Social audits or assessments in the last two years, by whom, and main findings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Corrective actions and their status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How affected workers are remedied (e.g. repayment of recruitment fees)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Public reporting on human rights, if any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Assessment and action (internal)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3276"/>
        <w:gridCol w:w="5784"/>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Outcome</w:t>
            </w:r>
          </w:p>
        </w:tc>
        <w:tc>
          <w:tcPr>
            <w:tcW w:type="dxa" w:w="578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Next step</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Acceptable</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Review again in [24] months or when circumstances change.</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Acceptable with corrective action</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Agree a corrective action plan with dates; record it in the contract register (template 25).</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Enhanced due diligence</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Independent audit or site visit, including worker interviews, before award or renewal.</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Do not proceed or plan responsible exit</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Record the reasons and the steps taken to limit harm to workers.</w:t>
            </w:r>
          </w:p>
        </w:tc>
      </w:tr>
    </w:tbl>
    <w:p>
      <w:pPr>
        <w:spacing w:after="60" w:before="0" w:line="276"/>
      </w:pPr>
    </w:p>
    <w:p>
      <w:pPr>
        <w:spacing w:after="100" w:before="60" w:line="276"/>
      </w:pPr>
      <w:r>
        <w:rPr>
          <w:rFonts w:ascii="Arial" w:cs="Arial" w:eastAsia="Arial" w:hAnsi="Arial"/>
          <w:i/>
          <w:iCs/>
          <w:color w:val="57534E"/>
          <w:sz w:val="18"/>
          <w:szCs w:val="18"/>
        </w:rPr>
        <w:t xml:space="preserve">The OECD due diligence cycle has six steps: embed the policy, identify and assess risks, cease, prevent or mitigate harm, track results, communicate, and provide for remediation. Sections 1 to 7 of this questionnaire cover each of them.</w:t>
      </w:r>
    </w:p>
    <w:p>
      <w:pPr>
        <w:keepNext/>
        <w:pBdr>
          <w:bottom w:val="single" w:color="A16207" w:sz="6" w:space="4"/>
        </w:pBdr>
        <w:spacing w:after="120" w:before="320"/>
      </w:pPr>
      <w:r>
        <w:rPr>
          <w:rFonts w:ascii="Georgia" w:cs="Georgia" w:eastAsia="Georgia" w:hAnsi="Georgia"/>
          <w:b/>
          <w:bCs/>
          <w:color w:val="1C1917"/>
          <w:sz w:val="28"/>
          <w:szCs w:val="28"/>
        </w:rPr>
        <w:t xml:space="preserve">8. Supplier declaration</w:t>
      </w:r>
    </w:p>
    <w:p>
      <w:pPr>
        <w:spacing w:after="100" w:before="60" w:line="276"/>
      </w:pPr>
      <w:r>
        <w:rPr>
          <w:rFonts w:ascii="Arial" w:cs="Arial" w:eastAsia="Arial" w:hAnsi="Arial"/>
          <w:color w:val="1C1917"/>
          <w:sz w:val="20"/>
          <w:szCs w:val="20"/>
        </w:rPr>
        <w:t xml:space="preserve">I confirm that the information in this questionnaire is accurate and complete, and that we will inform [Company name] without delay of any change or of any indication of forced labour in our operations or supply chain.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Role</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Name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Signature</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Date</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Authorised signatory (supplier)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by (buyer)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NSM-34  Forced Labour and Human Rights Due Diligence Questionnaire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Forced Labour and Human Rights Due Diligence Questionnaire</dc:title>
  <dc:creator>NSM Sourcing</dc:creator>
  <dc:description>A proportionate questionnaire for suppliers of higher-risk goods and services, built around the OECD due diligence steps and the ILO indicators of forced labour.</dc:description>
  <cp:lastModifiedBy>Un-named</cp:lastModifiedBy>
  <cp:revision>1</cp:revision>
  <dcterms:created xsi:type="dcterms:W3CDTF">2026-10-12T12:02:48.695Z</dcterms:created>
  <dcterms:modified xsi:type="dcterms:W3CDTF">2026-10-12T12:02:48.695Z</dcterms:modified>
</cp:coreProperties>
</file>

<file path=docProps/custom.xml><?xml version="1.0" encoding="utf-8"?>
<Properties xmlns="http://schemas.openxmlformats.org/officeDocument/2006/custom-properties" xmlns:vt="http://schemas.openxmlformats.org/officeDocument/2006/docPropsVTypes"/>
</file>