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854D0E"/>
          <w:spacing w:val="30"/>
          <w:sz w:val="17"/>
          <w:szCs w:val="17"/>
        </w:rPr>
        <w:t xml:space="preserve">NSM SOURCING  ·  PROCUREMENT TEMPLATE  NSM-27</w:t>
      </w:r>
    </w:p>
    <w:p>
      <w:pPr>
        <w:spacing w:after="80"/>
      </w:pPr>
      <w:r>
        <w:rPr>
          <w:rFonts w:ascii="Georgia" w:cs="Georgia" w:eastAsia="Georgia" w:hAnsi="Georgia"/>
          <w:b/>
          <w:bCs/>
          <w:color w:val="1C1917"/>
          <w:sz w:val="44"/>
          <w:szCs w:val="44"/>
        </w:rPr>
        <w:t xml:space="preserve">AI Tool Procurement: Supplier Questionnaire and Contract Checklist</w:t>
      </w:r>
    </w:p>
    <w:p>
      <w:pPr>
        <w:spacing w:after="160" w:before="60" w:line="276"/>
      </w:pPr>
      <w:r>
        <w:rPr>
          <w:rFonts w:ascii="Arial" w:cs="Arial" w:eastAsia="Arial" w:hAnsi="Arial"/>
          <w:color w:val="57534E"/>
          <w:sz w:val="22"/>
          <w:szCs w:val="22"/>
        </w:rPr>
        <w:t xml:space="preserve">Questions to ask, evidence to request and clauses to secure before buying software or services that use artificial intelligence.</w:t>
      </w:r>
    </w:p>
    <w:p>
      <w:pPr>
        <w:pBdr>
          <w:bottom w:val="single" w:color="D6D3CE" w:sz="4" w:space="6"/>
        </w:pBdr>
        <w:spacing w:after="200"/>
      </w:pPr>
      <w:r>
        <w:rPr>
          <w:rFonts w:ascii="Arial" w:cs="Arial" w:eastAsia="Arial" w:hAnsi="Arial"/>
          <w:b/>
          <w:bCs/>
          <w:color w:val="1C1917"/>
          <w:sz w:val="18"/>
          <w:szCs w:val="18"/>
        </w:rPr>
        <w:t xml:space="preserve">Procurement and supply cycle stage: </w:t>
      </w:r>
      <w:r>
        <w:rPr>
          <w:rFonts w:ascii="Arial" w:cs="Arial" w:eastAsia="Arial" w:hAnsi="Arial"/>
          <w:color w:val="57534E"/>
          <w:sz w:val="18"/>
          <w:szCs w:val="18"/>
        </w:rPr>
        <w:t xml:space="preserve">Criteria, Contract</w:t>
      </w:r>
    </w:p>
    <w:p>
      <w:pPr>
        <w:spacing w:after="80" w:before="120"/>
      </w:pPr>
      <w:r>
        <w:rPr>
          <w:rFonts w:ascii="Georgia" w:cs="Georgia" w:eastAsia="Georgia" w:hAnsi="Georgia"/>
          <w:b/>
          <w:bCs/>
          <w:color w:val="1C1917"/>
          <w:sz w:val="24"/>
          <w:szCs w:val="24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Use for any purchase where AI processes your data or prepares outputs that people act on: AI features inside existing software, AI assistants, agentic tools and AI-based services.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Record the use case first in template 26 (AI Use-Case and Governance Register). The risk class there decides how deep this questionnaire goes.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Prepare it with IT security, data protection and legal. Combine section 2 with template 28 (Supplier Cyber Security Questionnaire) rather than asking security questions twice.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Document control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Reference number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Version and date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Prepared by (name, role)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Reviewed and approved by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Classification (e.g. internal, confidential)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1. The use case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Register reference (template 26)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Business problem and process step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Data the tool will use (personal, confidential, commercially sensitive, public)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Who uses the outputs and for what decisions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Level of autonomy: drafts, recommends, acts after approval, acts alone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EU AI Act screening result: prohibited, high-risk, transparency duty, minimal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Our role under the AI Act (normally deployer) and the supplier's role (normally provider)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spacing w:after="100" w:before="60" w:line="276"/>
      </w:pPr>
      <w:r>
        <w:rPr>
          <w:rFonts w:ascii="Arial" w:cs="Arial" w:eastAsia="Arial" w:hAnsi="Arial"/>
          <w:i/>
          <w:iCs/>
          <w:color w:val="57534E"/>
          <w:sz w:val="18"/>
          <w:szCs w:val="18"/>
        </w:rPr>
        <w:t xml:space="preserve">Most buyers are deployers under the EU AI Act; providers carry most of the obligations, but deployers of high-risk systems must use them according to the instructions, assign human oversight and keep logs. The stand-alone high-risk duties apply from 2 December 2027 and transparency duties from 2 August 2026. Confirm the classification with legal counsel.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2. Supplier questionnaire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4"/>
        <w:gridCol w:w="5108"/>
        <w:gridCol w:w="2120"/>
        <w:gridCol w:w="1736"/>
      </w:tblGrid>
      <w:tr>
        <w:trPr>
          <w:cantSplit/>
          <w:tblHeader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Response</w:t>
            </w: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Evidence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A1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Which AI functions does the offer include, which models power them (your own, a third-party foundation model, open source) and who provides those models?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A2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How and how far in advance will you notify us of model changes or version updates? Can we test before the change or stay on the current version for a period?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A3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What is your role and the system's classification under the EU AI Act? Which documentation and instructions for use can you provide?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B1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Are our inputs, outputs or files used to train or improve models, for us or for other customers? What is the default setting and how is it changed?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B2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Where are our data stored and processed? List the sub-processors, including the model provider, and their locations.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B3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How long are prompts, outputs and logs kept, and how are they deleted at our request and at exit?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B4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For personal data: your role under GDPR or KVKK, the data processing agreement you offer and how cross-border transfers are covered.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C1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Which certifications or assurance reports cover the service (e.g. ISO/IEC 27001, SOC 2 Type II, ISO/IEC 42001)?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C2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How do you prevent prompt injection, leakage of data between customers and unauthorised actions by AI agents?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C3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Which access controls, single sign-on and activity logs are available to us?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D1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How do you measure accuracy, and what results do you have on tasks like ours? What are the known limitations?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D2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How does the tool show its sources and handle questions it cannot answer reliably?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D3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How do you test for bias where outputs affect people or suppliers?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D4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Will you support a pilot on our own data with acceptance criteria agreed in advance?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E1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How do users see that content was generated by AI?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E2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Can a person review and approve before the tool sends, orders, pays or changes a record? Can we set those approval points ourselves?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E3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Which logs of AI actions and decisions are available to us, and for how long?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F1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Pricing model (per user, usage, tokens, outcome). Which caps, alerts and reports help us control usage charges?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F2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Notice period for price changes and for changes to included features.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F3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At exit, in what format do we receive our data, prompts, configurations and outputs?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674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F4</w:t>
            </w:r>
          </w:p>
        </w:tc>
        <w:tc>
          <w:tcPr>
            <w:tcW w:type="dxa" w:w="510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Service levels, support hours and notification times for security and AI incidents.</w:t>
            </w:r>
          </w:p>
        </w:tc>
        <w:tc>
          <w:tcPr>
            <w:tcW w:type="dxa" w:w="212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736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3. Contract clause checklist</w:t>
      </w:r>
    </w:p>
    <w:p>
      <w:pPr>
        <w:spacing w:after="100" w:before="60" w:line="276"/>
      </w:pPr>
      <w:r>
        <w:rPr>
          <w:rFonts w:ascii="Arial" w:cs="Arial" w:eastAsia="Arial" w:hAnsi="Arial"/>
          <w:i/>
          <w:iCs/>
          <w:color w:val="57534E"/>
          <w:sz w:val="18"/>
          <w:szCs w:val="18"/>
        </w:rPr>
        <w:t xml:space="preserve">The EU model contractual clauses for AI procurement (MCC-AI, updated March 2025) were written for public buyers, but they are a useful reference for private contracts too. Agree the points below in the contract or in a schedule to it.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Our data, inputs and outputs are not used to train or improve models without our written consent.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Data location, confidentiality and a sub-processor list, with advance notice of changes and a right to object.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Notice of material model changes, a right to test before them and a right to terminate if performance falls.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Acceptance criteria from the pilot written into the contract, with service levels and remedies.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Human oversight: the configuration we need to approve actions before they are carried out.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Logs of AI actions kept for [12] months and made available to us on request.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Documentation and information we need to meet our own legal obligations, including those of a deployer under the AI Act.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Notification of security incidents and serious AI incidents within [24] hours.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Ownership of outputs, and indemnity against third-party intellectual property claims arising from the outputs or the training data.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Limitation of liability that reflects the data and decisions involved, and the supplier's insurance.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Our right to audit or to receive independent assurance reports.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Caps or alerts on usage-based charges, and notice of price changes.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Exit: return of data in an agreed format, certified deletion and transition assistance.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Compliance with applicable law, including the prohibited practices of the AI Act and data protection law.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4. Pilot evaluation</w:t>
      </w:r>
    </w:p>
    <w:p>
      <w:pPr>
        <w:spacing w:after="100" w:before="60" w:line="276"/>
      </w:pPr>
      <w:r>
        <w:rPr>
          <w:rFonts w:ascii="Arial" w:cs="Arial" w:eastAsia="Arial" w:hAnsi="Arial"/>
          <w:i/>
          <w:iCs/>
          <w:color w:val="57534E"/>
          <w:sz w:val="18"/>
          <w:szCs w:val="18"/>
        </w:rPr>
        <w:t xml:space="preserve">Agree the criteria and targets before the pilot starts and test on a sample of real cases, not on the supplier's demonstration data.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891"/>
        <w:gridCol w:w="1927"/>
        <w:gridCol w:w="1929"/>
      </w:tblGrid>
      <w:tr>
        <w:trPr>
          <w:cantSplit/>
          <w:tblHeader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Criterion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Measure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Target</w:t>
            </w: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Result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Accuracy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[Correct outputs in a sample of 100 real cases]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Time saved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[Minutes per task, before and after]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Error types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[Errors that a reviewer would not catch easily]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User acceptance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[Share of users who would keep using it]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Cost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[Cost per transaction at expected volume]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Security and data protection review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[Passed / conditions]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5. Decision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Recommendation (proceed, proceed with conditions, do not proceed)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Conditions and owners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Human checkpoints confirmed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Register updated (template 26), date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2505"/>
        <w:gridCol w:w="2891"/>
        <w:gridCol w:w="1929"/>
      </w:tblGrid>
      <w:tr>
        <w:trPr>
          <w:cantSplit/>
          <w:tblHeader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Signature</w:t>
            </w: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Procurement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IT security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Data protection or legal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Business owner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3CE" w:sz="4" w:space="4"/>
      </w:pBdr>
    </w:pPr>
    <w:r>
      <w:rPr>
        <w:rFonts w:ascii="Arial" w:cs="Arial" w:eastAsia="Arial" w:hAnsi="Arial"/>
        <w:color w:val="57534E"/>
        <w:sz w:val="15"/>
        <w:szCs w:val="15"/>
      </w:rPr>
      <w:t xml:space="preserve">NSM Sourcing  ·  nsmsourcing.com  ·  </w:t>
    </w:r>
    <w:r>
      <w:rPr>
        <w:rFonts w:ascii="Arial" w:cs="Arial" w:eastAsia="Arial" w:hAnsi="Arial"/>
        <w:color w:val="57534E"/>
        <w:sz w:val="15"/>
        <w:szCs w:val="15"/>
      </w:rPr>
      <w:t xml:space="preserve">CC BY 4.0: free to use and adapt with credit to NSM Sourcing. General guidance, not legal advice.</w:t>
    </w:r>
  </w:p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NSM-27  AI Tool Procurement: Supplier Questionnaire and Contract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Tool Procurement: Supplier Questionnaire and Contract Checklist</dc:title>
  <dc:creator>NSM Sourcing</dc:creator>
  <dc:description>Questions to ask, evidence to request and clauses to secure before buying software or services that use artificial intelligence.</dc:description>
  <cp:lastModifiedBy>Un-named</cp:lastModifiedBy>
  <cp:revision>1</cp:revision>
  <dcterms:created xsi:type="dcterms:W3CDTF">2026-10-12T12:02:48.659Z</dcterms:created>
  <dcterms:modified xsi:type="dcterms:W3CDTF">2026-10-12T12:02:48.659Z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