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854D0E"/>
          <w:spacing w:val="30"/>
          <w:sz w:val="17"/>
          <w:szCs w:val="17"/>
        </w:rPr>
        <w:t xml:space="preserve">NSM SOURCING  ·  PROCUREMENT TEMPLATE  NSM-17</w:t>
      </w:r>
    </w:p>
    <w:p>
      <w:pPr>
        <w:spacing w:after="80"/>
      </w:pPr>
      <w:r>
        <w:rPr>
          <w:rFonts w:ascii="Georgia" w:cs="Georgia" w:eastAsia="Georgia" w:hAnsi="Georgia"/>
          <w:b/>
          <w:bCs/>
          <w:color w:val="1C1917"/>
          <w:sz w:val="44"/>
          <w:szCs w:val="44"/>
        </w:rPr>
        <w:t xml:space="preserve">Negotiation Plan</w:t>
      </w:r>
    </w:p>
    <w:p>
      <w:pPr>
        <w:spacing w:after="160" w:before="60" w:line="276"/>
      </w:pPr>
      <w:r>
        <w:rPr>
          <w:rFonts w:ascii="Arial" w:cs="Arial" w:eastAsia="Arial" w:hAnsi="Arial"/>
          <w:color w:val="57534E"/>
          <w:sz w:val="22"/>
          <w:szCs w:val="22"/>
        </w:rPr>
        <w:t xml:space="preserve">Prepares the team to negotiate from facts: objectives, positions, alternatives and a planned set of concessions.</w:t>
      </w:r>
    </w:p>
    <w:p>
      <w:pPr>
        <w:pBdr>
          <w:bottom w:val="single" w:color="D6D3CE" w:sz="4" w:space="6"/>
        </w:pBdr>
        <w:spacing w:after="200"/>
      </w:pPr>
      <w:r>
        <w:rPr>
          <w:rFonts w:ascii="Arial" w:cs="Arial" w:eastAsia="Arial" w:hAnsi="Arial"/>
          <w:b/>
          <w:bCs/>
          <w:color w:val="1C1917"/>
          <w:sz w:val="18"/>
          <w:szCs w:val="18"/>
        </w:rPr>
        <w:t xml:space="preserve">Procurement and supply cycle stage: </w:t>
      </w:r>
      <w:r>
        <w:rPr>
          <w:rFonts w:ascii="Arial" w:cs="Arial" w:eastAsia="Arial" w:hAnsi="Arial"/>
          <w:color w:val="57534E"/>
          <w:sz w:val="18"/>
          <w:szCs w:val="18"/>
        </w:rPr>
        <w:t xml:space="preserve">Evaluation, Contract</w:t>
      </w:r>
    </w:p>
    <w:p>
      <w:pPr>
        <w:spacing w:after="80" w:before="120"/>
      </w:pPr>
      <w:r>
        <w:rPr>
          <w:rFonts w:ascii="Georgia" w:cs="Georgia" w:eastAsia="Georgia" w:hAnsi="Georgia"/>
          <w:b/>
          <w:bCs/>
          <w:color w:val="1C1917"/>
          <w:sz w:val="24"/>
          <w:szCs w:val="24"/>
        </w:rPr>
        <w:t xml:space="preserve">How to use this template</w:t>
      </w:r>
    </w:p>
    <w:p>
      <w:pPr>
        <w:pStyle w:val="ListParagraph"/>
        <w:numPr>
          <w:ilvl w:val="0"/>
          <w:numId w:val="2"/>
        </w:numPr>
        <w:spacing w:after="30" w:before="10" w:line="276"/>
      </w:pPr>
      <w:r>
        <w:rPr>
          <w:rFonts w:ascii="Arial" w:cs="Arial" w:eastAsia="Arial" w:hAnsi="Arial"/>
          <w:color w:val="57534E"/>
          <w:sz w:val="19"/>
          <w:szCs w:val="19"/>
        </w:rPr>
        <w:t xml:space="preserve">Complete before the first meeting and agree it with the budget holder. The walk-away position must be approved, not improvised.</w:t>
      </w:r>
    </w:p>
    <w:p>
      <w:pPr>
        <w:pStyle w:val="ListParagraph"/>
        <w:numPr>
          <w:ilvl w:val="0"/>
          <w:numId w:val="2"/>
        </w:numPr>
        <w:spacing w:after="30" w:before="10" w:line="276"/>
      </w:pPr>
      <w:r>
        <w:rPr>
          <w:rFonts w:ascii="Arial" w:cs="Arial" w:eastAsia="Arial" w:hAnsi="Arial"/>
          <w:color w:val="57534E"/>
          <w:sz w:val="19"/>
          <w:szCs w:val="19"/>
        </w:rPr>
        <w:t xml:space="preserve">Keep this document internal. Share only what the team decides to disclose.</w:t>
      </w:r>
    </w:p>
    <w:p>
      <w:pPr>
        <w:pStyle w:val="ListParagraph"/>
        <w:numPr>
          <w:ilvl w:val="0"/>
          <w:numId w:val="2"/>
        </w:numPr>
        <w:spacing w:after="30" w:before="10" w:line="276"/>
      </w:pPr>
      <w:r>
        <w:rPr>
          <w:rFonts w:ascii="Arial" w:cs="Arial" w:eastAsia="Arial" w:hAnsi="Arial"/>
          <w:color w:val="57534E"/>
          <w:sz w:val="19"/>
          <w:szCs w:val="19"/>
        </w:rPr>
        <w:t xml:space="preserve">After the negotiation, complete section 9 while the details are fresh.</w:t>
      </w:r>
    </w:p>
    <w:p>
      <w:pPr>
        <w:keepNext/>
        <w:pBdr>
          <w:bottom w:val="single" w:color="A16207" w:sz="6" w:space="4"/>
        </w:pBdr>
        <w:spacing w:after="120" w:before="320"/>
      </w:pPr>
      <w:r>
        <w:rPr>
          <w:rFonts w:ascii="Georgia" w:cs="Georgia" w:eastAsia="Georgia" w:hAnsi="Georgia"/>
          <w:b/>
          <w:bCs/>
          <w:color w:val="1C1917"/>
          <w:sz w:val="28"/>
          <w:szCs w:val="28"/>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Organisation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Reference number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Version and date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Prepared by (name, role)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Reviewed and approved by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Classification (e.g. internal, confidential)</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1. Context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Supplier and contract</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Value and duration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Stage (post-tender, single source, renewal, dispute)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Relationship goal (one-off, long-term, strategic)</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2. Facts and analysis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Our pre-tender or should-cost estimate (template 04)</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Supplier's offer and main cost elements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Gap and its likely causes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Supplier's position: capacity, order book, dependence on us, competitors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Our position: alternatives, deadlines, internal pressures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3. Objectives and positions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8"/>
        <w:gridCol w:w="1734"/>
        <w:gridCol w:w="1734"/>
        <w:gridCol w:w="1734"/>
        <w:gridCol w:w="1738"/>
      </w:tblGrid>
      <w:tr>
        <w:trPr>
          <w:cantSplit/>
          <w:tblHeader/>
        </w:trPr>
        <w:tc>
          <w:tcPr>
            <w:tcW w:type="dxa" w:w="269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Issue</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Opening position</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Target</w:t>
            </w:r>
          </w:p>
        </w:tc>
        <w:tc>
          <w:tcPr>
            <w:tcW w:type="dxa" w:w="1734"/>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Walk-away</w:t>
            </w:r>
          </w:p>
        </w:tc>
        <w:tc>
          <w:tcPr>
            <w:tcW w:type="dxa" w:w="173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Priority</w:t>
            </w: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Price</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Payment terms</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Delivery lead time</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Warranty and support</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Liability and penalties</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Price adjustment (index, cap and floor)</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Energy, fuel and war-risk surcharges</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Who bears new tariffs, duties or carbon costs</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269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Continuity commitments (capacity, buffer stock)</w:t>
            </w: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4"/>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73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4. Alternatives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Our best alternative if no agreement is reached</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Our estimate of the supplier's best alternative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Actions to strengthen our alternative before the meeting</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5. Concession plan</w:t>
      </w:r>
    </w:p>
    <w:p>
      <w:pPr>
        <w:spacing w:after="100" w:before="60" w:line="276"/>
      </w:pPr>
      <w:r>
        <w:rPr>
          <w:rFonts w:ascii="Arial" w:cs="Arial" w:eastAsia="Arial" w:hAnsi="Arial"/>
          <w:i/>
          <w:iCs/>
          <w:color w:val="57534E"/>
          <w:sz w:val="18"/>
          <w:szCs w:val="18"/>
        </w:rPr>
        <w:t xml:space="preserve">List what we can give that costs us little but is valuable to the supplier, and what we want in return. Never concede without receiving something.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3855"/>
        <w:gridCol w:w="1928"/>
      </w:tblGrid>
      <w:tr>
        <w:trPr>
          <w:cantSplit/>
          <w:tblHeader/>
        </w:trPr>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We may offer</w:t>
            </w:r>
          </w:p>
        </w:tc>
        <w:tc>
          <w:tcPr>
            <w:tcW w:type="dxa" w:w="385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In return for</w:t>
            </w:r>
          </w:p>
        </w:tc>
        <w:tc>
          <w:tcPr>
            <w:tcW w:type="dxa" w:w="1928"/>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Cost to us</w:t>
            </w: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[e.g. Longer contract term]</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[Price held for the full term]</w:t>
            </w:r>
          </w:p>
        </w:tc>
        <w:tc>
          <w:tcPr>
            <w:tcW w:type="dxa" w:w="192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[e.g. Volume forecast shared quarterly]</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[Shorter lead time]</w:t>
            </w:r>
          </w:p>
        </w:tc>
        <w:tc>
          <w:tcPr>
            <w:tcW w:type="dxa" w:w="192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360" w:hRule="atLeast"/>
        </w:trPr>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[e.g. Faster payment]</w:t>
            </w:r>
          </w:p>
        </w:tc>
        <w:tc>
          <w:tcPr>
            <w:tcW w:type="dxa" w:w="385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[Additional discount]</w:t>
            </w:r>
          </w:p>
        </w:tc>
        <w:tc>
          <w:tcPr>
            <w:tcW w:type="dxa" w:w="1928"/>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6. Team and roles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2891"/>
        <w:gridCol w:w="3856"/>
      </w:tblGrid>
      <w:tr>
        <w:trPr>
          <w:cantSplit/>
          <w:tblHeader/>
        </w:trPr>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Name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Role</w:t>
            </w:r>
          </w:p>
        </w:tc>
        <w:tc>
          <w:tcPr>
            <w:tcW w:type="dxa" w:w="3856"/>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Responsibility in the meeting</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Lead negotiator</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Speaks for the team, makes proposals</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Technical expert</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Answers technical points only</w:t>
            </w:r>
          </w:p>
        </w:tc>
      </w:tr>
      <w:tr>
        <w:trPr>
          <w:cantSplit/>
          <w:tblHeader w:val="false"/>
          <w:trHeight w:val="360" w:hRule="atLeast"/>
        </w:trPr>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Note taker and observer</w:t>
            </w:r>
          </w:p>
        </w:tc>
        <w:tc>
          <w:tcPr>
            <w:tcW w:type="dxa" w:w="3856"/>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r>
              <w:rPr>
                <w:rFonts w:ascii="Arial" w:cs="Arial" w:eastAsia="Arial" w:hAnsi="Arial"/>
                <w:color w:val="1C1917"/>
                <w:sz w:val="18"/>
                <w:szCs w:val="18"/>
              </w:rPr>
              <w:t xml:space="preserve">Records offers, watches signals</w:t>
            </w:r>
          </w:p>
        </w:tc>
      </w:tr>
    </w:tbl>
    <w:p>
      <w:pPr>
        <w:spacing w:after="60" w:before="0" w:line="276"/>
      </w:pPr>
    </w:p>
    <w:p>
      <w:pPr>
        <w:keepNext/>
        <w:pBdr>
          <w:bottom w:val="single" w:color="A16207" w:sz="6" w:space="4"/>
        </w:pBdr>
        <w:spacing w:after="120" w:before="320"/>
      </w:pPr>
      <w:r>
        <w:rPr>
          <w:rFonts w:ascii="Georgia" w:cs="Georgia" w:eastAsia="Georgia" w:hAnsi="Georgia"/>
          <w:b/>
          <w:bCs/>
          <w:color w:val="1C1917"/>
          <w:sz w:val="28"/>
          <w:szCs w:val="28"/>
        </w:rPr>
        <w:t xml:space="preserve">7. Agenda and tactics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Proposed agenda and order of issues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Questions to ask the supplier</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Information we will not disclose</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Likely supplier arguments and our responses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p>
      <w:pPr>
        <w:pBdr>
          <w:left w:val="single" w:color="A16207" w:sz="18" w:space="8"/>
        </w:pBdr>
        <w:shd w:fill="F0EDE6" w:color="auto" w:val="clear"/>
        <w:spacing w:after="160" w:before="120" w:line="276"/>
        <w:ind w:left="160" w:right="120"/>
      </w:pPr>
      <w:r>
        <w:rPr>
          <w:rFonts w:ascii="Arial" w:cs="Arial" w:eastAsia="Arial" w:hAnsi="Arial"/>
          <w:b/>
          <w:bCs/>
          <w:color w:val="854D0E"/>
          <w:sz w:val="18"/>
          <w:szCs w:val="18"/>
        </w:rPr>
        <w:t xml:space="preserve">Practitioner note.  </w:t>
      </w:r>
      <w:r>
        <w:rPr>
          <w:rFonts w:ascii="Arial" w:cs="Arial" w:eastAsia="Arial" w:hAnsi="Arial"/>
          <w:color w:val="1C1917"/>
          <w:sz w:val="18"/>
          <w:szCs w:val="18"/>
        </w:rPr>
        <w:t xml:space="preserve">When the price gap is large, start with the cost model rather than with the price. Walking through the cost drivers line by line shows where the difference really lies and lets both sides move without losing face. If no agreement is possible, an open and reasoned decision to go back to the market is itself a strong message.</w:t>
      </w:r>
    </w:p>
    <w:p>
      <w:pPr>
        <w:spacing w:after="100" w:before="60" w:line="276"/>
      </w:pPr>
      <w:r>
        <w:rPr>
          <w:rFonts w:ascii="Arial" w:cs="Arial" w:eastAsia="Arial" w:hAnsi="Arial"/>
          <w:i/>
          <w:iCs/>
          <w:color w:val="57534E"/>
          <w:sz w:val="18"/>
          <w:szCs w:val="18"/>
        </w:rPr>
        <w:t xml:space="preserve">AI tools can consolidate data, summarise the supplier's position and test scenarios before the meeting. Use only tools approved for confidential data, never enter the walk-away position into an unapproved tool, and check every figure against its source.</w:t>
      </w:r>
    </w:p>
    <w:p>
      <w:pPr>
        <w:keepNext/>
        <w:pBdr>
          <w:bottom w:val="single" w:color="A16207" w:sz="6" w:space="4"/>
        </w:pBdr>
        <w:spacing w:after="120" w:before="320"/>
      </w:pPr>
      <w:r>
        <w:rPr>
          <w:rFonts w:ascii="Georgia" w:cs="Georgia" w:eastAsia="Georgia" w:hAnsi="Georgia"/>
          <w:b/>
          <w:bCs/>
          <w:color w:val="1C1917"/>
          <w:sz w:val="28"/>
          <w:szCs w:val="28"/>
        </w:rPr>
        <w:t xml:space="preserve">8. Ethics</w:t>
      </w:r>
    </w:p>
    <w:p>
      <w:pPr>
        <w:spacing w:after="100" w:before="60" w:line="276"/>
      </w:pPr>
      <w:r>
        <w:rPr>
          <w:rFonts w:ascii="Arial" w:cs="Arial" w:eastAsia="Arial" w:hAnsi="Arial"/>
          <w:color w:val="1C1917"/>
          <w:sz w:val="20"/>
          <w:szCs w:val="20"/>
        </w:rPr>
        <w:t xml:space="preserve">The team will negotiate honestly, will not misrepresent facts or competing offers and will keep the supplier's information confidential.</w:t>
      </w:r>
    </w:p>
    <w:p>
      <w:pPr>
        <w:keepNext/>
        <w:pBdr>
          <w:bottom w:val="single" w:color="A16207" w:sz="6" w:space="4"/>
        </w:pBdr>
        <w:spacing w:after="120" w:before="320"/>
      </w:pPr>
      <w:r>
        <w:rPr>
          <w:rFonts w:ascii="Georgia" w:cs="Georgia" w:eastAsia="Georgia" w:hAnsi="Georgia"/>
          <w:b/>
          <w:bCs/>
          <w:color w:val="1C1917"/>
          <w:sz w:val="28"/>
          <w:szCs w:val="28"/>
        </w:rPr>
        <w:t xml:space="preserve">9. Outcome record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73"/>
        <w:gridCol w:w="6265"/>
      </w:tblGrid>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Agreed terms (attach written confirmation)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Result against target and walk-away</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Open points and owners</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Pr>
        <w:tc>
          <w:tcPr>
            <w:tcW w:type="dxa" w:w="337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Lessons for the next negotiation</w:t>
            </w:r>
          </w:p>
        </w:tc>
        <w:tc>
          <w:tcPr>
            <w:tcW w:type="dxa" w:w="626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505"/>
        <w:gridCol w:w="2891"/>
        <w:gridCol w:w="1929"/>
      </w:tblGrid>
      <w:tr>
        <w:trPr>
          <w:cantSplit/>
          <w:tblHeader/>
        </w:trPr>
        <w:tc>
          <w:tcPr>
            <w:tcW w:type="dxa" w:w="2313"/>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Role</w:t>
            </w:r>
          </w:p>
        </w:tc>
        <w:tc>
          <w:tcPr>
            <w:tcW w:type="dxa" w:w="2505"/>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Name</w:t>
            </w:r>
          </w:p>
        </w:tc>
        <w:tc>
          <w:tcPr>
            <w:tcW w:type="dxa" w:w="2891"/>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Signature</w:t>
            </w:r>
          </w:p>
        </w:tc>
        <w:tc>
          <w:tcPr>
            <w:tcW w:type="dxa" w:w="1929"/>
            <w:tcBorders>
              <w:top w:val="single" w:color="D6D3CE" w:sz="4"/>
              <w:left w:val="single" w:color="D6D3CE" w:sz="4"/>
              <w:bottom w:val="single" w:color="D6D3CE" w:sz="4"/>
              <w:right w:val="single" w:color="D6D3CE" w:sz="4"/>
            </w:tcBorders>
            <w:shd w:fill="1C1917" w:color="auto" w:val="clear"/>
            <w:tcMar>
              <w:top w:type="dxa" w:w="70"/>
              <w:left w:type="dxa" w:w="110"/>
              <w:bottom w:type="dxa" w:w="70"/>
              <w:right w:type="dxa" w:w="110"/>
            </w:tcMar>
            <w:vAlign w:val="top"/>
          </w:tcPr>
          <w:p>
            <w:pPr>
              <w:spacing w:after="0" w:before="0" w:line="276"/>
            </w:pPr>
            <w:r>
              <w:rPr>
                <w:rFonts w:ascii="Arial" w:cs="Arial" w:eastAsia="Arial" w:hAnsi="Arial"/>
                <w:b/>
                <w:bCs/>
                <w:color w:val="FFFFFF"/>
                <w:sz w:val="17"/>
                <w:szCs w:val="17"/>
              </w:rPr>
              <w:t xml:space="preserve">Date</w:t>
            </w: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Lead negotiator</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r>
        <w:trPr>
          <w:cantSplit/>
          <w:tblHeader w:val="false"/>
          <w:trHeight w:val="520" w:hRule="atLeast"/>
        </w:trPr>
        <w:tc>
          <w:tcPr>
            <w:tcW w:type="dxa" w:w="2313"/>
            <w:tcBorders>
              <w:top w:val="single" w:color="D6D3CE" w:sz="4"/>
              <w:left w:val="single" w:color="D6D3CE" w:sz="4"/>
              <w:bottom w:val="single" w:color="D6D3CE" w:sz="4"/>
              <w:right w:val="single" w:color="D6D3CE" w:sz="4"/>
            </w:tcBorders>
            <w:shd w:fill="F0EDE6" w:color="auto" w:val="clear"/>
            <w:tcMar>
              <w:top w:type="dxa" w:w="70"/>
              <w:left w:type="dxa" w:w="110"/>
              <w:bottom w:type="dxa" w:w="70"/>
              <w:right w:type="dxa" w:w="110"/>
            </w:tcMar>
            <w:vAlign w:val="top"/>
          </w:tcPr>
          <w:p>
            <w:pPr>
              <w:spacing w:after="0" w:before="0" w:line="276"/>
            </w:pPr>
            <w:r>
              <w:rPr>
                <w:rFonts w:ascii="Arial" w:cs="Arial" w:eastAsia="Arial" w:hAnsi="Arial"/>
                <w:b/>
                <w:bCs/>
                <w:color w:val="1C1917"/>
                <w:sz w:val="18"/>
                <w:szCs w:val="18"/>
              </w:rPr>
              <w:t xml:space="preserve">Budget holder (walk-away approval)</w:t>
            </w:r>
          </w:p>
        </w:tc>
        <w:tc>
          <w:tcPr>
            <w:tcW w:type="dxa" w:w="2505"/>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2891"/>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c>
          <w:tcPr>
            <w:tcW w:type="dxa" w:w="1929"/>
            <w:tcBorders>
              <w:top w:val="single" w:color="D6D3CE" w:sz="4"/>
              <w:left w:val="single" w:color="D6D3CE" w:sz="4"/>
              <w:bottom w:val="single" w:color="D6D3CE" w:sz="4"/>
              <w:right w:val="single" w:color="D6D3CE" w:sz="4"/>
            </w:tcBorders>
            <w:tcMar>
              <w:top w:type="dxa" w:w="70"/>
              <w:left w:type="dxa" w:w="110"/>
              <w:bottom w:type="dxa" w:w="70"/>
              <w:right w:type="dxa" w:w="110"/>
            </w:tcMar>
            <w:vAlign w:val="top"/>
          </w:tcPr>
          <w:p>
            <w:pPr>
              <w:spacing w:after="0" w:before="0" w:line="276"/>
            </w:pPr>
          </w:p>
        </w:tc>
      </w:tr>
    </w:tbl>
    <w:p>
      <w:pPr>
        <w:spacing w:after="60" w:before="0" w:line="276"/>
      </w:pPr>
    </w:p>
    <w:sectPr>
      <w:headerReference w:type="default" r:id="rId7"/>
      <w:footerReference w:type="default" r:id="rId8"/>
      <w:pgSz w:w="11906" w:h="16838" w:orient="portrait"/>
      <w:pgMar w:top="1134" w:right="1134" w:bottom="1134" w:left="1134" w:header="560" w:footer="5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6D3CE" w:sz="4" w:space="4"/>
      </w:pBdr>
    </w:pPr>
    <w:r>
      <w:rPr>
        <w:rFonts w:ascii="Arial" w:cs="Arial" w:eastAsia="Arial" w:hAnsi="Arial"/>
        <w:color w:val="57534E"/>
        <w:sz w:val="15"/>
        <w:szCs w:val="15"/>
      </w:rPr>
      <w:t xml:space="preserve">NSM Sourcing  ·  nsmsourcing.com  ·  </w:t>
    </w:r>
    <w:r>
      <w:rPr>
        <w:rFonts w:ascii="Arial" w:cs="Arial" w:eastAsia="Arial" w:hAnsi="Arial"/>
        <w:color w:val="57534E"/>
        <w:sz w:val="15"/>
        <w:szCs w:val="15"/>
      </w:rPr>
      <w:t xml:space="preserve">CC BY 4.0: free to use and adapt with credit to NSM Sourcing. General guidance, not legal advice.</w:t>
    </w:r>
  </w:p>
  <w:p>
    <w:pPr>
      <w:jc w:val="right"/>
    </w:pPr>
    <w:r>
      <w:rPr>
        <w:rFonts w:ascii="Arial" w:cs="Arial" w:eastAsia="Arial" w:hAnsi="Arial"/>
        <w:color w:val="57534E"/>
        <w:sz w:val="15"/>
        <w:szCs w:val="15"/>
      </w:rPr>
      <w:t xml:space="preserve">Page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7534E"/>
        <w:sz w:val="15"/>
        <w:szCs w:val="15"/>
      </w:rPr>
      <w:t xml:space="preserve">NSM-17  Negotiation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decimal"/>
      <w:lvlText w:val="%1."/>
      <w:lvlJc w:val="left"/>
      <w:pPr>
        <w:ind w:left="400" w:hanging="300"/>
      </w:pPr>
    </w:lvl>
  </w:abstractNum>
  <w:abstractNum w:abstractNumId="4" w15:restartNumberingAfterBreak="0">
    <w:multiLevelType w:val="hybridMultilevel"/>
    <w:lvl w:ilvl="0" w15:tentative="1">
      <w:start w:val="1"/>
      <w:numFmt w:val="decimal"/>
      <w:lvlText w:val="%1."/>
      <w:lvlJc w:val="left"/>
      <w:pPr>
        <w:ind w:left="400" w:hanging="300"/>
      </w:pPr>
    </w:lvl>
  </w:abstractNum>
  <w:abstractNum w:abstractNumId="5" w15:restartNumberingAfterBreak="0">
    <w:multiLevelType w:val="hybridMultilevel"/>
    <w:lvl w:ilvl="0" w15:tentative="1">
      <w:start w:val="1"/>
      <w:numFmt w:val="decimal"/>
      <w:lvlText w:val="%1."/>
      <w:lvlJc w:val="left"/>
      <w:pPr>
        <w:ind w:left="400" w:hanging="300"/>
      </w:pPr>
    </w:lvl>
  </w:abstractNum>
  <w:abstractNum w:abstractNumId="6"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Negotiation Plan</dc:title>
  <dc:creator>NSM Sourcing</dc:creator>
  <dc:description>Prepares the team to negotiate from facts: objectives, positions, alternatives and a planned set of concessions.</dc:description>
  <cp:lastModifiedBy>Un-named</cp:lastModifiedBy>
  <cp:revision>1</cp:revision>
  <dcterms:created xsi:type="dcterms:W3CDTF">2026-10-12T12:02:48.513Z</dcterms:created>
  <dcterms:modified xsi:type="dcterms:W3CDTF">2026-10-12T12:02:48.513Z</dcterms:modified>
</cp:coreProperties>
</file>

<file path=docProps/custom.xml><?xml version="1.0" encoding="utf-8"?>
<Properties xmlns="http://schemas.openxmlformats.org/officeDocument/2006/custom-properties" xmlns:vt="http://schemas.openxmlformats.org/officeDocument/2006/docPropsVTypes"/>
</file>