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854D0E"/>
          <w:spacing w:val="30"/>
          <w:sz w:val="17"/>
          <w:szCs w:val="17"/>
        </w:rPr>
        <w:t xml:space="preserve">NSM SOURCING  ·  PROCUREMENT TEMPLATE  NSM-12</w:t>
      </w:r>
    </w:p>
    <w:p>
      <w:pPr>
        <w:spacing w:after="80"/>
      </w:pPr>
      <w:r>
        <w:rPr>
          <w:rFonts w:ascii="Georgia" w:cs="Georgia" w:eastAsia="Georgia" w:hAnsi="Georgia"/>
          <w:b/>
          <w:bCs/>
          <w:color w:val="1C1917"/>
          <w:sz w:val="44"/>
          <w:szCs w:val="44"/>
        </w:rPr>
        <w:t xml:space="preserve">Invitation to Tender (ITT / RFP)</w:t>
      </w:r>
    </w:p>
    <w:p>
      <w:pPr>
        <w:spacing w:after="160" w:before="60" w:line="276"/>
      </w:pPr>
      <w:r>
        <w:rPr>
          <w:rFonts w:ascii="Arial" w:cs="Arial" w:eastAsia="Arial" w:hAnsi="Arial"/>
          <w:color w:val="57534E"/>
          <w:sz w:val="22"/>
          <w:szCs w:val="22"/>
        </w:rPr>
        <w:t xml:space="preserve">Formal tender documents for complex or high-value requirements: instructions, timetable, evaluation method and contract basis.</w:t>
      </w:r>
    </w:p>
    <w:p>
      <w:pPr>
        <w:pBdr>
          <w:bottom w:val="single" w:color="D6D3CE" w:sz="4" w:space="6"/>
        </w:pBdr>
        <w:spacing w:after="200"/>
      </w:pPr>
      <w:r>
        <w:rPr>
          <w:rFonts w:ascii="Arial" w:cs="Arial" w:eastAsia="Arial" w:hAnsi="Arial"/>
          <w:b/>
          <w:bCs/>
          <w:color w:val="1C1917"/>
          <w:sz w:val="18"/>
          <w:szCs w:val="18"/>
        </w:rPr>
        <w:t xml:space="preserve">Procurement and supply cycle stage: </w:t>
      </w:r>
      <w:r>
        <w:rPr>
          <w:rFonts w:ascii="Arial" w:cs="Arial" w:eastAsia="Arial" w:hAnsi="Arial"/>
          <w:color w:val="57534E"/>
          <w:sz w:val="18"/>
          <w:szCs w:val="18"/>
        </w:rPr>
        <w:t xml:space="preserve">Documentation, Tender</w:t>
      </w:r>
    </w:p>
    <w:p>
      <w:pPr>
        <w:spacing w:after="80" w:before="120"/>
      </w:pPr>
      <w:r>
        <w:rPr>
          <w:rFonts w:ascii="Georgia" w:cs="Georgia" w:eastAsia="Georgia" w:hAnsi="Georgia"/>
          <w:b/>
          <w:bCs/>
          <w:color w:val="1C1917"/>
          <w:sz w:val="24"/>
          <w:szCs w:val="24"/>
        </w:rPr>
        <w:t xml:space="preserve">How to use this template</w:t>
      </w:r>
    </w:p>
    <w:p>
      <w:pPr>
        <w:pStyle w:val="ListParagraph"/>
        <w:numPr>
          <w:ilvl w:val="0"/>
          <w:numId w:val="2"/>
        </w:numPr>
        <w:spacing w:after="30" w:before="10" w:line="276"/>
      </w:pPr>
      <w:r>
        <w:rPr>
          <w:rFonts w:ascii="Arial" w:cs="Arial" w:eastAsia="Arial" w:hAnsi="Arial"/>
          <w:color w:val="57534E"/>
          <w:sz w:val="19"/>
          <w:szCs w:val="19"/>
        </w:rPr>
        <w:t xml:space="preserve">Attach the specification (template 02), price schedule (template 13) and draft contract. The ITT itself explains the rules of the competition.</w:t>
      </w:r>
    </w:p>
    <w:p>
      <w:pPr>
        <w:pStyle w:val="ListParagraph"/>
        <w:numPr>
          <w:ilvl w:val="0"/>
          <w:numId w:val="2"/>
        </w:numPr>
        <w:spacing w:after="30" w:before="10" w:line="276"/>
      </w:pPr>
      <w:r>
        <w:rPr>
          <w:rFonts w:ascii="Arial" w:cs="Arial" w:eastAsia="Arial" w:hAnsi="Arial"/>
          <w:color w:val="57534E"/>
          <w:sz w:val="19"/>
          <w:szCs w:val="19"/>
        </w:rPr>
        <w:t xml:space="preserve">Publish the evaluation criteria and weightings in the ITT and apply them exactly as published.</w:t>
      </w:r>
    </w:p>
    <w:p>
      <w:pPr>
        <w:pStyle w:val="ListParagraph"/>
        <w:numPr>
          <w:ilvl w:val="0"/>
          <w:numId w:val="2"/>
        </w:numPr>
        <w:spacing w:after="30" w:before="10" w:line="276"/>
      </w:pPr>
      <w:r>
        <w:rPr>
          <w:rFonts w:ascii="Arial" w:cs="Arial" w:eastAsia="Arial" w:hAnsi="Arial"/>
          <w:color w:val="57534E"/>
          <w:sz w:val="19"/>
          <w:szCs w:val="19"/>
        </w:rPr>
        <w:t xml:space="preserve">Keep a log of every clarification question and answer and issue answers to all bidders at the same time.</w:t>
      </w:r>
    </w:p>
    <w:p>
      <w:pPr>
        <w:keepNext/>
        <w:pBdr>
          <w:bottom w:val="single" w:color="A16207" w:sz="6" w:space="4"/>
        </w:pBdr>
        <w:spacing w:after="120" w:before="320"/>
      </w:pPr>
      <w:r>
        <w:rPr>
          <w:rFonts w:ascii="Georgia" w:cs="Georgia" w:eastAsia="Georgia" w:hAnsi="Georgia"/>
          <w:b/>
          <w:bCs/>
          <w:color w:val="1C1917"/>
          <w:sz w:val="28"/>
          <w:szCs w:val="28"/>
        </w:rPr>
        <w:t xml:space="preserve">Document control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Organisation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Reference number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Version and date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Prepared by (name, role)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Reviewed and approved by</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Classification (e.g. internal, confidential)</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1. Introduction</w:t>
      </w:r>
    </w:p>
    <w:p>
      <w:pPr>
        <w:spacing w:after="100" w:before="60" w:line="276"/>
      </w:pPr>
      <w:r>
        <w:rPr>
          <w:rFonts w:ascii="Arial" w:cs="Arial" w:eastAsia="Arial" w:hAnsi="Arial"/>
          <w:color w:val="1C1917"/>
          <w:sz w:val="20"/>
          <w:szCs w:val="20"/>
        </w:rPr>
        <w:t xml:space="preserve">[Organisation name] ("the Buyer") invites tenders for [title of requirement] as described in the attached specification. The contract is expected to run for [duration] from [start date], with an option to extend by [period].</w:t>
      </w:r>
    </w:p>
    <w:p>
      <w:pPr>
        <w:keepNext/>
        <w:pBdr>
          <w:bottom w:val="single" w:color="A16207" w:sz="6" w:space="4"/>
        </w:pBdr>
        <w:spacing w:after="120" w:before="320"/>
      </w:pPr>
      <w:r>
        <w:rPr>
          <w:rFonts w:ascii="Georgia" w:cs="Georgia" w:eastAsia="Georgia" w:hAnsi="Georgia"/>
          <w:b/>
          <w:bCs/>
          <w:color w:val="1C1917"/>
          <w:sz w:val="28"/>
          <w:szCs w:val="28"/>
        </w:rPr>
        <w:t xml:space="preserve">2. Tender documents</w:t>
      </w:r>
    </w:p>
    <w:p>
      <w:pPr>
        <w:pStyle w:val="ListParagraph"/>
        <w:numPr>
          <w:ilvl w:val="0"/>
          <w:numId w:val="2"/>
        </w:numPr>
        <w:spacing w:after="40" w:before="20" w:line="276"/>
      </w:pPr>
      <w:r>
        <w:rPr>
          <w:rFonts w:ascii="Arial" w:cs="Arial" w:eastAsia="Arial" w:hAnsi="Arial"/>
          <w:color w:val="1C1917"/>
          <w:sz w:val="20"/>
          <w:szCs w:val="20"/>
        </w:rPr>
        <w:t xml:space="preserve">Part A: Instructions to bidders (this document)</w:t>
      </w:r>
    </w:p>
    <w:p>
      <w:pPr>
        <w:pStyle w:val="ListParagraph"/>
        <w:numPr>
          <w:ilvl w:val="0"/>
          <w:numId w:val="2"/>
        </w:numPr>
        <w:spacing w:after="40" w:before="20" w:line="276"/>
      </w:pPr>
      <w:r>
        <w:rPr>
          <w:rFonts w:ascii="Arial" w:cs="Arial" w:eastAsia="Arial" w:hAnsi="Arial"/>
          <w:color w:val="1C1917"/>
          <w:sz w:val="20"/>
          <w:szCs w:val="20"/>
        </w:rPr>
        <w:t xml:space="preserve">Part B: Specification and statement of work</w:t>
      </w:r>
    </w:p>
    <w:p>
      <w:pPr>
        <w:pStyle w:val="ListParagraph"/>
        <w:numPr>
          <w:ilvl w:val="0"/>
          <w:numId w:val="2"/>
        </w:numPr>
        <w:spacing w:after="40" w:before="20" w:line="276"/>
      </w:pPr>
      <w:r>
        <w:rPr>
          <w:rFonts w:ascii="Arial" w:cs="Arial" w:eastAsia="Arial" w:hAnsi="Arial"/>
          <w:color w:val="1C1917"/>
          <w:sz w:val="20"/>
          <w:szCs w:val="20"/>
        </w:rPr>
        <w:t xml:space="preserve">Part C: Price schedule and commercial response</w:t>
      </w:r>
    </w:p>
    <w:p>
      <w:pPr>
        <w:pStyle w:val="ListParagraph"/>
        <w:numPr>
          <w:ilvl w:val="0"/>
          <w:numId w:val="2"/>
        </w:numPr>
        <w:spacing w:after="40" w:before="20" w:line="276"/>
      </w:pPr>
      <w:r>
        <w:rPr>
          <w:rFonts w:ascii="Arial" w:cs="Arial" w:eastAsia="Arial" w:hAnsi="Arial"/>
          <w:color w:val="1C1917"/>
          <w:sz w:val="20"/>
          <w:szCs w:val="20"/>
        </w:rPr>
        <w:t xml:space="preserve">Part D: Draft contract and terms and conditions</w:t>
      </w:r>
    </w:p>
    <w:p>
      <w:pPr>
        <w:pStyle w:val="ListParagraph"/>
        <w:numPr>
          <w:ilvl w:val="0"/>
          <w:numId w:val="2"/>
        </w:numPr>
        <w:spacing w:after="40" w:before="20" w:line="276"/>
      </w:pPr>
      <w:r>
        <w:rPr>
          <w:rFonts w:ascii="Arial" w:cs="Arial" w:eastAsia="Arial" w:hAnsi="Arial"/>
          <w:color w:val="1C1917"/>
          <w:sz w:val="20"/>
          <w:szCs w:val="20"/>
        </w:rPr>
        <w:t xml:space="preserve">Part E: Forms of declaration (eligibility, conflict of interest, confidentiality)</w:t>
      </w:r>
    </w:p>
    <w:p>
      <w:pPr>
        <w:keepNext/>
        <w:pBdr>
          <w:bottom w:val="single" w:color="A16207" w:sz="6" w:space="4"/>
        </w:pBdr>
        <w:spacing w:after="120" w:before="320"/>
      </w:pPr>
      <w:r>
        <w:rPr>
          <w:rFonts w:ascii="Georgia" w:cs="Georgia" w:eastAsia="Georgia" w:hAnsi="Georgia"/>
          <w:b/>
          <w:bCs/>
          <w:color w:val="1C1917"/>
          <w:sz w:val="28"/>
          <w:szCs w:val="28"/>
        </w:rPr>
        <w:t xml:space="preserve">3. Tender data sheet</w:t>
      </w:r>
    </w:p>
    <w:p>
      <w:pPr>
        <w:spacing w:after="100" w:before="60" w:line="276"/>
      </w:pPr>
      <w:r>
        <w:rPr>
          <w:rFonts w:ascii="Arial" w:cs="Arial" w:eastAsia="Arial" w:hAnsi="Arial"/>
          <w:i/>
          <w:iCs/>
          <w:color w:val="57534E"/>
          <w:sz w:val="18"/>
          <w:szCs w:val="18"/>
        </w:rPr>
        <w:t xml:space="preserve">Keep the instructions in section 5 standard and put everything that changes from tender to tender here. Bidders then find the variables in one place.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Currency of tender and exchange-rate basis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Incoterms 2020 rule and named place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Tender validity (days)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Tender security (amount) or tender-securing declaration, if any</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Price basis: fixed, or index formula (template 32)</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Language and submission method</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Award method and weightings (section 7)</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Abnormally low tender threshold (e.g. more than [20]% below the pre-tender estimate)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4. Timetable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782"/>
        <w:gridCol w:w="3856"/>
      </w:tblGrid>
      <w:tr>
        <w:trPr>
          <w:cantSplit/>
          <w:tblHeader/>
        </w:trPr>
        <w:tc>
          <w:tcPr>
            <w:tcW w:type="dxa" w:w="5782"/>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Activity</w:t>
            </w:r>
          </w:p>
        </w:tc>
        <w:tc>
          <w:tcPr>
            <w:tcW w:type="dxa" w:w="3856"/>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Date and time</w:t>
            </w:r>
          </w:p>
        </w:tc>
      </w:tr>
      <w:tr>
        <w:trPr>
          <w:cantSplit/>
          <w:tblHeader w:val="false"/>
          <w:trHeight w:val="360" w:hRule="atLeast"/>
        </w:trPr>
        <w:tc>
          <w:tcPr>
            <w:tcW w:type="dxa" w:w="578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ITT issued</w:t>
            </w:r>
          </w:p>
        </w:tc>
        <w:tc>
          <w:tcPr>
            <w:tcW w:type="dxa" w:w="38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578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Bidders' conference or site visit (optional)</w:t>
            </w:r>
          </w:p>
        </w:tc>
        <w:tc>
          <w:tcPr>
            <w:tcW w:type="dxa" w:w="38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578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Deadline for clarification questions</w:t>
            </w:r>
          </w:p>
        </w:tc>
        <w:tc>
          <w:tcPr>
            <w:tcW w:type="dxa" w:w="38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578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Final answers issued to all bidders</w:t>
            </w:r>
          </w:p>
        </w:tc>
        <w:tc>
          <w:tcPr>
            <w:tcW w:type="dxa" w:w="38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578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Tender submission deadline</w:t>
            </w:r>
          </w:p>
        </w:tc>
        <w:tc>
          <w:tcPr>
            <w:tcW w:type="dxa" w:w="38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578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Presentations or negotiations (if required)</w:t>
            </w:r>
          </w:p>
        </w:tc>
        <w:tc>
          <w:tcPr>
            <w:tcW w:type="dxa" w:w="38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578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Intended award decision</w:t>
            </w:r>
          </w:p>
        </w:tc>
        <w:tc>
          <w:tcPr>
            <w:tcW w:type="dxa" w:w="38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578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Contract start</w:t>
            </w:r>
          </w:p>
        </w:tc>
        <w:tc>
          <w:tcPr>
            <w:tcW w:type="dxa" w:w="38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5. Instructions to bidders</w:t>
      </w:r>
    </w:p>
    <w:p>
      <w:pPr>
        <w:pStyle w:val="ListParagraph"/>
        <w:numPr>
          <w:ilvl w:val="0"/>
          <w:numId w:val="2"/>
        </w:numPr>
        <w:spacing w:after="40" w:before="20" w:line="276"/>
      </w:pPr>
      <w:r>
        <w:rPr>
          <w:rFonts w:ascii="Arial" w:cs="Arial" w:eastAsia="Arial" w:hAnsi="Arial"/>
          <w:color w:val="1C1917"/>
          <w:sz w:val="20"/>
          <w:szCs w:val="20"/>
        </w:rPr>
        <w:t xml:space="preserve">All communication about this tender must go through the named contact: [name, e-mail]. Contact with other staff about the tender may lead to exclusion.</w:t>
      </w:r>
    </w:p>
    <w:p>
      <w:pPr>
        <w:pStyle w:val="ListParagraph"/>
        <w:numPr>
          <w:ilvl w:val="0"/>
          <w:numId w:val="2"/>
        </w:numPr>
        <w:spacing w:after="40" w:before="20" w:line="276"/>
      </w:pPr>
      <w:r>
        <w:rPr>
          <w:rFonts w:ascii="Arial" w:cs="Arial" w:eastAsia="Arial" w:hAnsi="Arial"/>
          <w:color w:val="1C1917"/>
          <w:sz w:val="20"/>
          <w:szCs w:val="20"/>
        </w:rPr>
        <w:t xml:space="preserve">Tenders must be submitted in [language] by [method, e.g. e-mail to a dedicated address or e-sourcing portal]. Late tenders will not be considered.</w:t>
      </w:r>
    </w:p>
    <w:p>
      <w:pPr>
        <w:pStyle w:val="ListParagraph"/>
        <w:numPr>
          <w:ilvl w:val="0"/>
          <w:numId w:val="2"/>
        </w:numPr>
        <w:spacing w:after="40" w:before="20" w:line="276"/>
      </w:pPr>
      <w:r>
        <w:rPr>
          <w:rFonts w:ascii="Arial" w:cs="Arial" w:eastAsia="Arial" w:hAnsi="Arial"/>
          <w:color w:val="1C1917"/>
          <w:sz w:val="20"/>
          <w:szCs w:val="20"/>
        </w:rPr>
        <w:t xml:space="preserve">Tenders must remain valid for [120] days from the submission deadline.</w:t>
      </w:r>
    </w:p>
    <w:p>
      <w:pPr>
        <w:pStyle w:val="ListParagraph"/>
        <w:numPr>
          <w:ilvl w:val="0"/>
          <w:numId w:val="2"/>
        </w:numPr>
        <w:spacing w:after="40" w:before="20" w:line="276"/>
      </w:pPr>
      <w:r>
        <w:rPr>
          <w:rFonts w:ascii="Arial" w:cs="Arial" w:eastAsia="Arial" w:hAnsi="Arial"/>
          <w:color w:val="1C1917"/>
          <w:sz w:val="20"/>
          <w:szCs w:val="20"/>
        </w:rPr>
        <w:t xml:space="preserve">Bidders must not discuss or agree prices with other bidders. Any sign of collusion will lead to exclusion.</w:t>
      </w:r>
    </w:p>
    <w:p>
      <w:pPr>
        <w:pStyle w:val="ListParagraph"/>
        <w:numPr>
          <w:ilvl w:val="0"/>
          <w:numId w:val="2"/>
        </w:numPr>
        <w:spacing w:after="40" w:before="20" w:line="276"/>
      </w:pPr>
      <w:r>
        <w:rPr>
          <w:rFonts w:ascii="Arial" w:cs="Arial" w:eastAsia="Arial" w:hAnsi="Arial"/>
          <w:color w:val="1C1917"/>
          <w:sz w:val="20"/>
          <w:szCs w:val="20"/>
        </w:rPr>
        <w:t xml:space="preserve">Variant bids are [not accepted] [accepted only in addition to a compliant bid].</w:t>
      </w:r>
    </w:p>
    <w:p>
      <w:pPr>
        <w:pStyle w:val="ListParagraph"/>
        <w:numPr>
          <w:ilvl w:val="0"/>
          <w:numId w:val="2"/>
        </w:numPr>
        <w:spacing w:after="40" w:before="20" w:line="276"/>
      </w:pPr>
      <w:r>
        <w:rPr>
          <w:rFonts w:ascii="Arial" w:cs="Arial" w:eastAsia="Arial" w:hAnsi="Arial"/>
          <w:color w:val="1C1917"/>
          <w:sz w:val="20"/>
          <w:szCs w:val="20"/>
        </w:rPr>
        <w:t xml:space="preserve">The Buyer may seek clarification of a tender but will not allow a bidder to change its price or substance after the deadline, except in a negotiation stage announced in this ITT.</w:t>
      </w:r>
    </w:p>
    <w:p>
      <w:pPr>
        <w:pStyle w:val="ListParagraph"/>
        <w:numPr>
          <w:ilvl w:val="0"/>
          <w:numId w:val="2"/>
        </w:numPr>
        <w:spacing w:after="40" w:before="20" w:line="276"/>
      </w:pPr>
      <w:r>
        <w:rPr>
          <w:rFonts w:ascii="Arial" w:cs="Arial" w:eastAsia="Arial" w:hAnsi="Arial"/>
          <w:color w:val="1C1917"/>
          <w:sz w:val="20"/>
          <w:szCs w:val="20"/>
        </w:rPr>
        <w:t xml:space="preserve">The Buyer is not obliged to accept the lowest or any tender and may cancel the procedure, giving reasons to all bidders.</w:t>
      </w:r>
    </w:p>
    <w:p>
      <w:pPr>
        <w:pStyle w:val="ListParagraph"/>
        <w:numPr>
          <w:ilvl w:val="0"/>
          <w:numId w:val="2"/>
        </w:numPr>
        <w:spacing w:after="40" w:before="20" w:line="276"/>
      </w:pPr>
      <w:r>
        <w:rPr>
          <w:rFonts w:ascii="Arial" w:cs="Arial" w:eastAsia="Arial" w:hAnsi="Arial"/>
          <w:color w:val="1C1917"/>
          <w:sz w:val="20"/>
          <w:szCs w:val="20"/>
        </w:rPr>
        <w:t xml:space="preserve">Bidders are responsible for the accuracy of everything in their tender, including any content prepared with AI tools.</w:t>
      </w:r>
    </w:p>
    <w:p>
      <w:pPr>
        <w:pStyle w:val="ListParagraph"/>
        <w:numPr>
          <w:ilvl w:val="0"/>
          <w:numId w:val="2"/>
        </w:numPr>
        <w:spacing w:after="40" w:before="20" w:line="276"/>
      </w:pPr>
      <w:r>
        <w:rPr>
          <w:rFonts w:ascii="Arial" w:cs="Arial" w:eastAsia="Arial" w:hAnsi="Arial"/>
          <w:color w:val="1C1917"/>
          <w:sz w:val="20"/>
          <w:szCs w:val="20"/>
        </w:rPr>
        <w:t xml:space="preserve">The Buyer may use approved AI tools to support the analysis of tenders. Tender information is not entered into tools that are not approved for confidential data, and all scoring and award decisions are made by the evaluation panel.</w:t>
      </w:r>
    </w:p>
    <w:p>
      <w:pPr>
        <w:keepNext/>
        <w:pBdr>
          <w:bottom w:val="single" w:color="A16207" w:sz="6" w:space="4"/>
        </w:pBdr>
        <w:spacing w:after="120" w:before="320"/>
      </w:pPr>
      <w:r>
        <w:rPr>
          <w:rFonts w:ascii="Georgia" w:cs="Georgia" w:eastAsia="Georgia" w:hAnsi="Georgia"/>
          <w:b/>
          <w:bCs/>
          <w:color w:val="1C1917"/>
          <w:sz w:val="28"/>
          <w:szCs w:val="28"/>
        </w:rPr>
        <w:t xml:space="preserve">6. Structure of the tender response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56"/>
        <w:gridCol w:w="5590"/>
        <w:gridCol w:w="2892"/>
      </w:tblGrid>
      <w:tr>
        <w:trPr>
          <w:cantSplit/>
          <w:tblHeader/>
        </w:trPr>
        <w:tc>
          <w:tcPr>
            <w:tcW w:type="dxa" w:w="1156"/>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Section</w:t>
            </w:r>
          </w:p>
        </w:tc>
        <w:tc>
          <w:tcPr>
            <w:tcW w:type="dxa" w:w="5590"/>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Content</w:t>
            </w:r>
          </w:p>
        </w:tc>
        <w:tc>
          <w:tcPr>
            <w:tcW w:type="dxa" w:w="2892"/>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Page limit</w:t>
            </w:r>
          </w:p>
        </w:tc>
      </w:tr>
      <w:tr>
        <w:trPr>
          <w:cantSplit/>
          <w:tblHeader w:val="false"/>
          <w:trHeight w:val="360" w:hRule="atLeast"/>
        </w:trPr>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w:t>
            </w:r>
          </w:p>
        </w:tc>
        <w:tc>
          <w:tcPr>
            <w:tcW w:type="dxa" w:w="559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Executive summary</w:t>
            </w:r>
          </w:p>
        </w:tc>
        <w:tc>
          <w:tcPr>
            <w:tcW w:type="dxa" w:w="289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2 pages</w:t>
            </w:r>
          </w:p>
        </w:tc>
      </w:tr>
      <w:tr>
        <w:trPr>
          <w:cantSplit/>
          <w:tblHeader w:val="false"/>
          <w:trHeight w:val="360" w:hRule="atLeast"/>
        </w:trPr>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2</w:t>
            </w:r>
          </w:p>
        </w:tc>
        <w:tc>
          <w:tcPr>
            <w:tcW w:type="dxa" w:w="559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Compliance matrix against every requirement in Part B</w:t>
            </w:r>
          </w:p>
        </w:tc>
        <w:tc>
          <w:tcPr>
            <w:tcW w:type="dxa" w:w="289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Table</w:t>
            </w:r>
          </w:p>
        </w:tc>
      </w:tr>
      <w:tr>
        <w:trPr>
          <w:cantSplit/>
          <w:tblHeader w:val="false"/>
          <w:trHeight w:val="360" w:hRule="atLeast"/>
        </w:trPr>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3</w:t>
            </w:r>
          </w:p>
        </w:tc>
        <w:tc>
          <w:tcPr>
            <w:tcW w:type="dxa" w:w="559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Technical solution and methodology</w:t>
            </w:r>
          </w:p>
        </w:tc>
        <w:tc>
          <w:tcPr>
            <w:tcW w:type="dxa" w:w="289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[10] pages</w:t>
            </w:r>
          </w:p>
        </w:tc>
      </w:tr>
      <w:tr>
        <w:trPr>
          <w:cantSplit/>
          <w:tblHeader w:val="false"/>
          <w:trHeight w:val="360" w:hRule="atLeast"/>
        </w:trPr>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4</w:t>
            </w:r>
          </w:p>
        </w:tc>
        <w:tc>
          <w:tcPr>
            <w:tcW w:type="dxa" w:w="559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Project plan, resources and key personnel</w:t>
            </w:r>
          </w:p>
        </w:tc>
        <w:tc>
          <w:tcPr>
            <w:tcW w:type="dxa" w:w="289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[5] pages</w:t>
            </w:r>
          </w:p>
        </w:tc>
      </w:tr>
      <w:tr>
        <w:trPr>
          <w:cantSplit/>
          <w:tblHeader w:val="false"/>
          <w:trHeight w:val="360" w:hRule="atLeast"/>
        </w:trPr>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5</w:t>
            </w:r>
          </w:p>
        </w:tc>
        <w:tc>
          <w:tcPr>
            <w:tcW w:type="dxa" w:w="559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Quality, health, safety and environmental management; supply resilience and continuity</w:t>
            </w:r>
          </w:p>
        </w:tc>
        <w:tc>
          <w:tcPr>
            <w:tcW w:type="dxa" w:w="289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[4] pages</w:t>
            </w:r>
          </w:p>
        </w:tc>
      </w:tr>
      <w:tr>
        <w:trPr>
          <w:cantSplit/>
          <w:tblHeader w:val="false"/>
          <w:trHeight w:val="360" w:hRule="atLeast"/>
        </w:trPr>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6</w:t>
            </w:r>
          </w:p>
        </w:tc>
        <w:tc>
          <w:tcPr>
            <w:tcW w:type="dxa" w:w="559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Price schedule (Part C)</w:t>
            </w:r>
          </w:p>
        </w:tc>
        <w:tc>
          <w:tcPr>
            <w:tcW w:type="dxa" w:w="289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Template</w:t>
            </w:r>
          </w:p>
        </w:tc>
      </w:tr>
      <w:tr>
        <w:trPr>
          <w:cantSplit/>
          <w:tblHeader w:val="false"/>
          <w:trHeight w:val="360" w:hRule="atLeast"/>
        </w:trPr>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7</w:t>
            </w:r>
          </w:p>
        </w:tc>
        <w:tc>
          <w:tcPr>
            <w:tcW w:type="dxa" w:w="559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Declarations (Part E) and exceptions to Part D</w:t>
            </w:r>
          </w:p>
        </w:tc>
        <w:tc>
          <w:tcPr>
            <w:tcW w:type="dxa" w:w="289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Forms</w:t>
            </w: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7. Evaluation</w:t>
      </w:r>
    </w:p>
    <w:p>
      <w:pPr>
        <w:spacing w:after="100" w:before="60" w:line="276"/>
      </w:pPr>
      <w:r>
        <w:rPr>
          <w:rFonts w:ascii="Arial" w:cs="Arial" w:eastAsia="Arial" w:hAnsi="Arial"/>
          <w:color w:val="1C1917"/>
          <w:sz w:val="20"/>
          <w:szCs w:val="20"/>
        </w:rPr>
        <w:t xml:space="preserve">Evaluation will take place in three steps. Only tenders that pass a step proceed to the next.</w:t>
      </w:r>
    </w:p>
    <w:p>
      <w:pPr>
        <w:pStyle w:val="ListParagraph"/>
        <w:numPr>
          <w:ilvl w:val="0"/>
          <w:numId w:val="3"/>
        </w:numPr>
        <w:spacing w:after="40" w:before="20" w:line="276"/>
      </w:pPr>
      <w:r>
        <w:rPr>
          <w:rFonts w:ascii="Arial" w:cs="Arial" w:eastAsia="Arial" w:hAnsi="Arial"/>
          <w:b/>
          <w:bCs/>
          <w:color w:val="1C1917"/>
          <w:sz w:val="20"/>
          <w:szCs w:val="20"/>
        </w:rPr>
        <w:t xml:space="preserve">Compliance check.</w:t>
      </w:r>
      <w:r>
        <w:rPr>
          <w:rFonts w:ascii="Arial" w:cs="Arial" w:eastAsia="Arial" w:hAnsi="Arial"/>
          <w:color w:val="1C1917"/>
          <w:sz w:val="20"/>
          <w:szCs w:val="20"/>
        </w:rPr>
        <w:t xml:space="preserve"> Tender received on time, complete and signed; mandatory requirements met; declarations acceptable.</w:t>
      </w:r>
    </w:p>
    <w:p>
      <w:pPr>
        <w:pStyle w:val="ListParagraph"/>
        <w:numPr>
          <w:ilvl w:val="0"/>
          <w:numId w:val="3"/>
        </w:numPr>
        <w:spacing w:after="40" w:before="20" w:line="276"/>
      </w:pPr>
      <w:r>
        <w:rPr>
          <w:rFonts w:ascii="Arial" w:cs="Arial" w:eastAsia="Arial" w:hAnsi="Arial"/>
          <w:b/>
          <w:bCs/>
          <w:color w:val="1C1917"/>
          <w:sz w:val="20"/>
          <w:szCs w:val="20"/>
        </w:rPr>
        <w:t xml:space="preserve">Quality evaluation.</w:t>
      </w:r>
      <w:r>
        <w:rPr>
          <w:rFonts w:ascii="Arial" w:cs="Arial" w:eastAsia="Arial" w:hAnsi="Arial"/>
          <w:color w:val="1C1917"/>
          <w:sz w:val="20"/>
          <w:szCs w:val="20"/>
        </w:rPr>
        <w:t xml:space="preserve"> Scored by a panel against the criteria below using the scoring scale.</w:t>
      </w:r>
    </w:p>
    <w:p>
      <w:pPr>
        <w:pStyle w:val="ListParagraph"/>
        <w:numPr>
          <w:ilvl w:val="0"/>
          <w:numId w:val="3"/>
        </w:numPr>
        <w:spacing w:after="40" w:before="20" w:line="276"/>
      </w:pPr>
      <w:r>
        <w:rPr>
          <w:rFonts w:ascii="Arial" w:cs="Arial" w:eastAsia="Arial" w:hAnsi="Arial"/>
          <w:b/>
          <w:bCs/>
          <w:color w:val="1C1917"/>
          <w:sz w:val="20"/>
          <w:szCs w:val="20"/>
        </w:rPr>
        <w:t xml:space="preserve">Price evaluation.</w:t>
      </w:r>
      <w:r>
        <w:rPr>
          <w:rFonts w:ascii="Arial" w:cs="Arial" w:eastAsia="Arial" w:hAnsi="Arial"/>
          <w:color w:val="1C1917"/>
          <w:sz w:val="20"/>
          <w:szCs w:val="20"/>
        </w:rPr>
        <w:t xml:space="preserve"> Total evaluated price, including [whole-life cost elements], scored as lowest price divided by bid price, multiplied by the price weight.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1445"/>
        <w:gridCol w:w="3374"/>
      </w:tblGrid>
      <w:tr>
        <w:trPr>
          <w:cantSplit/>
          <w:tblHeader/>
        </w:trPr>
        <w:tc>
          <w:tcPr>
            <w:tcW w:type="dxa" w:w="4819"/>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Criterion</w:t>
            </w:r>
          </w:p>
        </w:tc>
        <w:tc>
          <w:tcPr>
            <w:tcW w:type="dxa" w:w="144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Weight</w:t>
            </w:r>
          </w:p>
        </w:tc>
        <w:tc>
          <w:tcPr>
            <w:tcW w:type="dxa" w:w="3374"/>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What the panel will look for</w:t>
            </w:r>
          </w:p>
        </w:tc>
      </w:tr>
      <w:tr>
        <w:trPr>
          <w:cantSplit/>
          <w:tblHeader w:val="false"/>
          <w:trHeight w:val="360" w:hRule="atLeast"/>
        </w:trPr>
        <w:tc>
          <w:tcPr>
            <w:tcW w:type="dxa" w:w="481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Technical solution</w:t>
            </w: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[25%]</w:t>
            </w:r>
          </w:p>
        </w:tc>
        <w:tc>
          <w:tcPr>
            <w:tcW w:type="dxa" w:w="337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Fit to the outcome, robustness, risk</w:t>
            </w:r>
          </w:p>
        </w:tc>
      </w:tr>
      <w:tr>
        <w:trPr>
          <w:cantSplit/>
          <w:tblHeader w:val="false"/>
          <w:trHeight w:val="360" w:hRule="atLeast"/>
        </w:trPr>
        <w:tc>
          <w:tcPr>
            <w:tcW w:type="dxa" w:w="481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Delivery and implementation plan</w:t>
            </w: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[10%]</w:t>
            </w:r>
          </w:p>
        </w:tc>
        <w:tc>
          <w:tcPr>
            <w:tcW w:type="dxa" w:w="337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Realistic timetable, resources</w:t>
            </w:r>
          </w:p>
        </w:tc>
      </w:tr>
      <w:tr>
        <w:trPr>
          <w:cantSplit/>
          <w:tblHeader w:val="false"/>
          <w:trHeight w:val="360" w:hRule="atLeast"/>
        </w:trPr>
        <w:tc>
          <w:tcPr>
            <w:tcW w:type="dxa" w:w="481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Supply resilience</w:t>
            </w: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[5%]</w:t>
            </w:r>
          </w:p>
        </w:tc>
        <w:tc>
          <w:tcPr>
            <w:tcW w:type="dxa" w:w="337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Second site, sub-tier visibility, route alternatives</w:t>
            </w:r>
          </w:p>
        </w:tc>
      </w:tr>
      <w:tr>
        <w:trPr>
          <w:cantSplit/>
          <w:tblHeader w:val="false"/>
          <w:trHeight w:val="360" w:hRule="atLeast"/>
        </w:trPr>
        <w:tc>
          <w:tcPr>
            <w:tcW w:type="dxa" w:w="481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Quality and after-sales support</w:t>
            </w: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[10%]</w:t>
            </w:r>
          </w:p>
        </w:tc>
        <w:tc>
          <w:tcPr>
            <w:tcW w:type="dxa" w:w="337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Warranty, service levels, spares</w:t>
            </w:r>
          </w:p>
        </w:tc>
      </w:tr>
      <w:tr>
        <w:trPr>
          <w:cantSplit/>
          <w:tblHeader w:val="false"/>
          <w:trHeight w:val="360" w:hRule="atLeast"/>
        </w:trPr>
        <w:tc>
          <w:tcPr>
            <w:tcW w:type="dxa" w:w="481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Sustainability</w:t>
            </w: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[5%]</w:t>
            </w:r>
          </w:p>
        </w:tc>
        <w:tc>
          <w:tcPr>
            <w:tcW w:type="dxa" w:w="337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Specific, measurable commitments</w:t>
            </w:r>
          </w:p>
        </w:tc>
      </w:tr>
      <w:tr>
        <w:trPr>
          <w:cantSplit/>
          <w:tblHeader w:val="false"/>
          <w:trHeight w:val="360" w:hRule="atLeast"/>
        </w:trPr>
        <w:tc>
          <w:tcPr>
            <w:tcW w:type="dxa" w:w="481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Price (total evaluated)</w:t>
            </w: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[45%]</w:t>
            </w:r>
          </w:p>
        </w:tc>
        <w:tc>
          <w:tcPr>
            <w:tcW w:type="dxa" w:w="337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Formula above</w:t>
            </w:r>
          </w:p>
        </w:tc>
      </w:tr>
    </w:tbl>
    <w:p>
      <w:pPr>
        <w:spacing w:after="60" w:before="0" w:line="276"/>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56"/>
        <w:gridCol w:w="8482"/>
      </w:tblGrid>
      <w:tr>
        <w:trPr>
          <w:cantSplit/>
          <w:tblHeader/>
        </w:trPr>
        <w:tc>
          <w:tcPr>
            <w:tcW w:type="dxa" w:w="1156"/>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Score</w:t>
            </w:r>
          </w:p>
        </w:tc>
        <w:tc>
          <w:tcPr>
            <w:tcW w:type="dxa" w:w="8482"/>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Scoring scale for quality criteria</w:t>
            </w:r>
          </w:p>
        </w:tc>
      </w:tr>
      <w:tr>
        <w:trPr>
          <w:cantSplit/>
          <w:tblHeader w:val="false"/>
          <w:trHeight w:val="360" w:hRule="atLeast"/>
        </w:trPr>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0</w:t>
            </w:r>
          </w:p>
        </w:tc>
        <w:tc>
          <w:tcPr>
            <w:tcW w:type="dxa" w:w="848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No response, or response fails to address the criterion.</w:t>
            </w:r>
          </w:p>
        </w:tc>
      </w:tr>
      <w:tr>
        <w:trPr>
          <w:cantSplit/>
          <w:tblHeader w:val="false"/>
          <w:trHeight w:val="360" w:hRule="atLeast"/>
        </w:trPr>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w:t>
            </w:r>
          </w:p>
        </w:tc>
        <w:tc>
          <w:tcPr>
            <w:tcW w:type="dxa" w:w="848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Major gaps or concerns; little evidence.</w:t>
            </w:r>
          </w:p>
        </w:tc>
      </w:tr>
      <w:tr>
        <w:trPr>
          <w:cantSplit/>
          <w:tblHeader w:val="false"/>
          <w:trHeight w:val="360" w:hRule="atLeast"/>
        </w:trPr>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2</w:t>
            </w:r>
          </w:p>
        </w:tc>
        <w:tc>
          <w:tcPr>
            <w:tcW w:type="dxa" w:w="848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Partly meets the requirement; some concerns.</w:t>
            </w:r>
          </w:p>
        </w:tc>
      </w:tr>
      <w:tr>
        <w:trPr>
          <w:cantSplit/>
          <w:tblHeader w:val="false"/>
          <w:trHeight w:val="360" w:hRule="atLeast"/>
        </w:trPr>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3</w:t>
            </w:r>
          </w:p>
        </w:tc>
        <w:tc>
          <w:tcPr>
            <w:tcW w:type="dxa" w:w="848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Meets the requirement with adequate evidence.</w:t>
            </w:r>
          </w:p>
        </w:tc>
      </w:tr>
      <w:tr>
        <w:trPr>
          <w:cantSplit/>
          <w:tblHeader w:val="false"/>
          <w:trHeight w:val="360" w:hRule="atLeast"/>
        </w:trPr>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4</w:t>
            </w:r>
          </w:p>
        </w:tc>
        <w:tc>
          <w:tcPr>
            <w:tcW w:type="dxa" w:w="848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Meets the requirement fully with good evidence and some added value.</w:t>
            </w:r>
          </w:p>
        </w:tc>
      </w:tr>
      <w:tr>
        <w:trPr>
          <w:cantSplit/>
          <w:tblHeader w:val="false"/>
          <w:trHeight w:val="360" w:hRule="atLeast"/>
        </w:trPr>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5</w:t>
            </w:r>
          </w:p>
        </w:tc>
        <w:tc>
          <w:tcPr>
            <w:tcW w:type="dxa" w:w="848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Exceeds the requirement with strong evidence and clear added value.</w:t>
            </w:r>
          </w:p>
        </w:tc>
      </w:tr>
    </w:tbl>
    <w:p>
      <w:pPr>
        <w:spacing w:after="60" w:before="0" w:line="276"/>
      </w:pPr>
    </w:p>
    <w:p>
      <w:pPr>
        <w:spacing w:after="100" w:before="60" w:line="276"/>
      </w:pPr>
      <w:r>
        <w:rPr>
          <w:rFonts w:ascii="Arial" w:cs="Arial" w:eastAsia="Arial" w:hAnsi="Arial"/>
          <w:b/>
          <w:bCs/>
          <w:color w:val="1C1917"/>
          <w:sz w:val="20"/>
          <w:szCs w:val="20"/>
        </w:rPr>
        <w:t xml:space="preserve">Abnormally low tenders.</w:t>
      </w:r>
      <w:r>
        <w:rPr>
          <w:rFonts w:ascii="Arial" w:cs="Arial" w:eastAsia="Arial" w:hAnsi="Arial"/>
          <w:color w:val="1C1917"/>
          <w:sz w:val="20"/>
          <w:szCs w:val="20"/>
        </w:rPr>
        <w:t xml:space="preserve"> Where a tender price is below the threshold in the tender data sheet, the Buyer will ask the bidder to explain its price build-up and assumptions in writing. A tender may be rejected if the explanation does not show that the contract can be performed at that price.</w:t>
      </w:r>
    </w:p>
    <w:p>
      <w:pPr>
        <w:pBdr>
          <w:left w:val="single" w:color="A16207" w:sz="18" w:space="8"/>
        </w:pBdr>
        <w:shd w:fill="F0EDE6" w:color="auto" w:val="clear"/>
        <w:spacing w:after="160" w:before="120" w:line="276"/>
        <w:ind w:left="160" w:right="120"/>
      </w:pPr>
      <w:r>
        <w:rPr>
          <w:rFonts w:ascii="Arial" w:cs="Arial" w:eastAsia="Arial" w:hAnsi="Arial"/>
          <w:b/>
          <w:bCs/>
          <w:color w:val="854D0E"/>
          <w:sz w:val="18"/>
          <w:szCs w:val="18"/>
        </w:rPr>
        <w:t xml:space="preserve">Practitioner note.  </w:t>
      </w:r>
      <w:r>
        <w:rPr>
          <w:rFonts w:ascii="Arial" w:cs="Arial" w:eastAsia="Arial" w:hAnsi="Arial"/>
          <w:color w:val="1C1917"/>
          <w:sz w:val="18"/>
          <w:szCs w:val="18"/>
        </w:rPr>
        <w:t xml:space="preserve">Decide before the deadline what you will do if all tenders exceed the pre-tender estimate. The answer may be negotiation, a change of scope, or cancellation and re-tender to a wider qualified field. Saying in the ITT that the Buyer may cancel and giving reasons openly keeps that option fair and credible.</w:t>
      </w:r>
    </w:p>
    <w:p>
      <w:pPr>
        <w:keepNext/>
        <w:pBdr>
          <w:bottom w:val="single" w:color="A16207" w:sz="6" w:space="4"/>
        </w:pBdr>
        <w:spacing w:after="120" w:before="320"/>
      </w:pPr>
      <w:r>
        <w:rPr>
          <w:rFonts w:ascii="Georgia" w:cs="Georgia" w:eastAsia="Georgia" w:hAnsi="Georgia"/>
          <w:b/>
          <w:bCs/>
          <w:color w:val="1C1917"/>
          <w:sz w:val="28"/>
          <w:szCs w:val="28"/>
        </w:rPr>
        <w:t xml:space="preserve">8. Award and contract</w:t>
      </w:r>
    </w:p>
    <w:p>
      <w:pPr>
        <w:spacing w:after="100" w:before="60" w:line="276"/>
      </w:pPr>
      <w:r>
        <w:rPr>
          <w:rFonts w:ascii="Arial" w:cs="Arial" w:eastAsia="Arial" w:hAnsi="Arial"/>
          <w:color w:val="1C1917"/>
          <w:sz w:val="20"/>
          <w:szCs w:val="20"/>
        </w:rPr>
        <w:t xml:space="preserve">The Buyer will notify all bidders of the outcome at the same time. Unsuccessful bidders will receive their scores and the reasons. The contract will be based on Part D. Bidders who propose changes to Part D must list them in their tender; such changes may affect evaluation.</w:t>
      </w:r>
    </w:p>
    <w:p>
      <w:pPr>
        <w:keepNext/>
        <w:pBdr>
          <w:bottom w:val="single" w:color="A16207" w:sz="6" w:space="4"/>
        </w:pBdr>
        <w:spacing w:after="120" w:before="320"/>
      </w:pPr>
      <w:r>
        <w:rPr>
          <w:rFonts w:ascii="Georgia" w:cs="Georgia" w:eastAsia="Georgia" w:hAnsi="Georgia"/>
          <w:b/>
          <w:bCs/>
          <w:color w:val="1C1917"/>
          <w:sz w:val="28"/>
          <w:szCs w:val="28"/>
        </w:rPr>
        <w:t xml:space="preserve">9. Confidentiality, ethics and trade compliance</w:t>
      </w:r>
    </w:p>
    <w:p>
      <w:pPr>
        <w:spacing w:after="100" w:before="60" w:line="276"/>
      </w:pPr>
      <w:r>
        <w:rPr>
          <w:rFonts w:ascii="Arial" w:cs="Arial" w:eastAsia="Arial" w:hAnsi="Arial"/>
          <w:color w:val="1C1917"/>
          <w:sz w:val="20"/>
          <w:szCs w:val="20"/>
        </w:rPr>
        <w:t xml:space="preserve">The Buyer will treat tenders as confidential. Bidders must not offer gifts, hospitality or any other advantage to the Buyer's staff. The Buyer expects bidders to respect human rights, anti-bribery and environmental law in their own operations and supply chains. Bidders confirm that they and their sub-suppliers are not subject to sanctions, that no product supplied is made with forced labour, and, where Part D requires it, accept a clause prohibiting re-export to restricted destinations.</w:t>
      </w:r>
    </w:p>
    <w:sectPr>
      <w:headerReference w:type="default" r:id="rId7"/>
      <w:footerReference w:type="default" r:id="rId8"/>
      <w:pgSz w:w="11906" w:h="16838" w:orient="portrait"/>
      <w:pgMar w:top="1134" w:right="1134" w:bottom="1134" w:left="1134"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D3CE" w:sz="4" w:space="4"/>
      </w:pBdr>
    </w:pPr>
    <w:r>
      <w:rPr>
        <w:rFonts w:ascii="Arial" w:cs="Arial" w:eastAsia="Arial" w:hAnsi="Arial"/>
        <w:color w:val="57534E"/>
        <w:sz w:val="15"/>
        <w:szCs w:val="15"/>
      </w:rPr>
      <w:t xml:space="preserve">NSM Sourcing  ·  nsmsourcing.com  ·  </w:t>
    </w:r>
    <w:r>
      <w:rPr>
        <w:rFonts w:ascii="Arial" w:cs="Arial" w:eastAsia="Arial" w:hAnsi="Arial"/>
        <w:color w:val="57534E"/>
        <w:sz w:val="15"/>
        <w:szCs w:val="15"/>
      </w:rPr>
      <w:t xml:space="preserve">CC BY 4.0: free to use and adapt with credit to NSM Sourcing. General guidance, not legal advice.</w:t>
    </w:r>
  </w:p>
  <w:p>
    <w:pPr>
      <w:jc w:val="right"/>
    </w:pPr>
    <w:r>
      <w:rPr>
        <w:rFonts w:ascii="Arial" w:cs="Arial" w:eastAsia="Arial" w:hAnsi="Arial"/>
        <w:color w:val="57534E"/>
        <w:sz w:val="15"/>
        <w:szCs w:val="15"/>
      </w:rPr>
      <w:t xml:space="preserve">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57534E"/>
        <w:sz w:val="15"/>
        <w:szCs w:val="15"/>
      </w:rPr>
      <w:t xml:space="preserve">NSM-12  Invitation to Tender (ITT / RFP)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abstractNum w:abstractNumId="3" w15:restartNumberingAfterBreak="0">
    <w:multiLevelType w:val="hybridMultilevel"/>
    <w:lvl w:ilvl="0" w15:tentative="1">
      <w:start w:val="1"/>
      <w:numFmt w:val="decimal"/>
      <w:lvlText w:val="%1."/>
      <w:lvlJc w:val="left"/>
      <w:pPr>
        <w:ind w:left="400" w:hanging="300"/>
      </w:pPr>
    </w:lvl>
  </w:abstractNum>
  <w:abstractNum w:abstractNumId="4" w15:restartNumberingAfterBreak="0">
    <w:multiLevelType w:val="hybridMultilevel"/>
    <w:lvl w:ilvl="0" w15:tentative="1">
      <w:start w:val="1"/>
      <w:numFmt w:val="decimal"/>
      <w:lvlText w:val="%1."/>
      <w:lvlJc w:val="left"/>
      <w:pPr>
        <w:ind w:left="400" w:hanging="300"/>
      </w:pPr>
    </w:lvl>
  </w:abstractNum>
  <w:abstractNum w:abstractNumId="5" w15:restartNumberingAfterBreak="0">
    <w:multiLevelType w:val="hybridMultilevel"/>
    <w:lvl w:ilvl="0" w15:tentative="1">
      <w:start w:val="1"/>
      <w:numFmt w:val="decimal"/>
      <w:lvlText w:val="%1."/>
      <w:lvlJc w:val="left"/>
      <w:pPr>
        <w:ind w:left="400" w:hanging="300"/>
      </w:pPr>
    </w:lvl>
  </w:abstractNum>
  <w:abstractNum w:abstractNumId="6"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to Tender (ITT / RFP)</dc:title>
  <dc:creator>NSM Sourcing</dc:creator>
  <dc:description>Formal tender documents for complex or high-value requirements: instructions, timetable, evaluation method and contract basis.</dc:description>
  <cp:lastModifiedBy>Un-named</cp:lastModifiedBy>
  <cp:revision>1</cp:revision>
  <dcterms:created xsi:type="dcterms:W3CDTF">2026-10-12T12:02:48.460Z</dcterms:created>
  <dcterms:modified xsi:type="dcterms:W3CDTF">2026-10-12T12:02:48.460Z</dcterms:modified>
</cp:coreProperties>
</file>

<file path=docProps/custom.xml><?xml version="1.0" encoding="utf-8"?>
<Properties xmlns="http://schemas.openxmlformats.org/officeDocument/2006/custom-properties" xmlns:vt="http://schemas.openxmlformats.org/officeDocument/2006/docPropsVTypes"/>
</file>