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NSM-09</w:t>
      </w:r>
    </w:p>
    <w:p>
      <w:pPr>
        <w:spacing w:after="80"/>
      </w:pPr>
      <w:r>
        <w:rPr>
          <w:rFonts w:ascii="Georgia" w:cs="Georgia" w:eastAsia="Georgia" w:hAnsi="Georgia"/>
          <w:b/>
          <w:bCs/>
          <w:color w:val="1C1917"/>
          <w:sz w:val="44"/>
          <w:szCs w:val="44"/>
        </w:rPr>
        <w:t xml:space="preserve">Supplier Pre-Qualification Questionnaire</w:t>
      </w:r>
    </w:p>
    <w:p>
      <w:pPr>
        <w:spacing w:after="160" w:before="60" w:line="276"/>
      </w:pPr>
      <w:r>
        <w:rPr>
          <w:rFonts w:ascii="Arial" w:cs="Arial" w:eastAsia="Arial" w:hAnsi="Arial"/>
          <w:color w:val="57534E"/>
          <w:sz w:val="22"/>
          <w:szCs w:val="22"/>
        </w:rPr>
        <w:t xml:space="preserve">Supplier appraisal before tender: confirms that a supplier is eligible, financially sound and technically capable.</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Criteria</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Decide the pass marks and scoring before issuing the questionnaire and tell suppliers how they will be assessed.</w:t>
      </w:r>
    </w:p>
    <w:p>
      <w:pPr>
        <w:pStyle w:val="ListParagraph"/>
        <w:numPr>
          <w:ilvl w:val="0"/>
          <w:numId w:val="2"/>
        </w:numPr>
        <w:spacing w:after="30" w:before="10" w:line="276"/>
      </w:pPr>
      <w:r>
        <w:rPr>
          <w:rFonts w:ascii="Arial" w:cs="Arial" w:eastAsia="Arial" w:hAnsi="Arial"/>
          <w:color w:val="57534E"/>
          <w:sz w:val="19"/>
          <w:szCs w:val="19"/>
        </w:rPr>
        <w:t xml:space="preserve">Ask only for what you will evaluate. Each question should be marked "pass or fail", "scored" or "for information".</w:t>
      </w:r>
    </w:p>
    <w:p>
      <w:pPr>
        <w:pStyle w:val="ListParagraph"/>
        <w:numPr>
          <w:ilvl w:val="0"/>
          <w:numId w:val="2"/>
        </w:numPr>
        <w:spacing w:after="30" w:before="10" w:line="276"/>
      </w:pPr>
      <w:r>
        <w:rPr>
          <w:rFonts w:ascii="Arial" w:cs="Arial" w:eastAsia="Arial" w:hAnsi="Arial"/>
          <w:color w:val="57534E"/>
          <w:sz w:val="19"/>
          <w:szCs w:val="19"/>
        </w:rPr>
        <w:t xml:space="preserve">For high-risk suppliers, confirm key answers on site with template 10 (Supplier Site Audit Checklist).</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Instructions to suppliers</w:t>
      </w:r>
    </w:p>
    <w:p>
      <w:pPr>
        <w:spacing w:after="100" w:before="60" w:line="276"/>
      </w:pPr>
      <w:r>
        <w:rPr>
          <w:rFonts w:ascii="Arial" w:cs="Arial" w:eastAsia="Arial" w:hAnsi="Arial"/>
          <w:color w:val="1C1917"/>
          <w:sz w:val="20"/>
          <w:szCs w:val="20"/>
        </w:rPr>
        <w:t xml:space="preserve">Please complete all sections. Where a question does not apply, write "not applicable" and explain why. Attach the evidence requested. [Organisation name] may verify any answer, including by a site visit, and may exclude a supplier who provides misleading information.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Return deadline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Return to (name, e-mail)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Evaluation method and pass mark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Company information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Legal name and registration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Tax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Registered address and manufacturing sites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Ownership and parent company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Ultimate beneficial owners holding 25% or more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Contact for this questionnaire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Years trading in this product or service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Eligibility and ethics (pass or fail)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1445"/>
        <w:gridCol w:w="1447"/>
      </w:tblGrid>
      <w:tr>
        <w:trPr>
          <w:cantSplit/>
          <w:tblHeader/>
        </w:trPr>
        <w:tc>
          <w:tcPr>
            <w:tcW w:type="dxa" w:w="674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Declaration</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Yes</w:t>
            </w:r>
          </w:p>
        </w:tc>
        <w:tc>
          <w:tcPr>
            <w:tcW w:type="dxa" w:w="144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No</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company, its directors or key staff have been convicted of fraud, bribery, corruption or money laundering in the last five years.</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company is subject to insolvency, bankruptcy or similar proceedings.</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company has failed to pay taxes or social security contributions as legally required.</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company is subject to sanctions or export restrictions relevant to this requirement.</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Any director or owner is related to an employee of [Organisation name]. If yes, give details.</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company has a written policy to prevent forced labour and child labour in its operations and supply chain.</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The company, its owners or directors are listed on EU, UN, UK or US sanctions lists, or owned or controlled by a listed person.</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r>
        <w:trPr>
          <w:cantSplit/>
          <w:tblHeader w:val="false"/>
          <w:trHeight w:val="360" w:hRule="atLeast"/>
        </w:trPr>
        <w:tc>
          <w:tcPr>
            <w:tcW w:type="dxa" w:w="674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Any product or input supplied comes from a region or producer subject to a forced labour import ban or withhold order.</w:t>
            </w: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144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Financial standing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927"/>
        <w:gridCol w:w="1927"/>
        <w:gridCol w:w="1929"/>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Indicator</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Year 1</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Year 2</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Year 3</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Turnover</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Profit before tax</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Current ratio</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Total equity</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spacing w:after="100" w:before="60" w:line="276"/>
      </w:pPr>
      <w:r>
        <w:rPr>
          <w:rFonts w:ascii="Arial" w:cs="Arial" w:eastAsia="Arial" w:hAnsi="Arial"/>
          <w:i/>
          <w:iCs/>
          <w:color w:val="57534E"/>
          <w:sz w:val="18"/>
          <w:szCs w:val="18"/>
        </w:rPr>
        <w:t xml:space="preserve">A common test: the annual value of the contract should not exceed a set share of the supplier's turnover (often 20 to 30 percent), so the buyer does not become a dangerous dependency for the supplier.</w:t>
      </w:r>
    </w:p>
    <w:p>
      <w:pPr>
        <w:keepNext/>
        <w:pBdr>
          <w:bottom w:val="single" w:color="A16207" w:sz="6" w:space="4"/>
        </w:pBdr>
        <w:spacing w:after="120" w:before="320"/>
      </w:pPr>
      <w:r>
        <w:rPr>
          <w:rFonts w:ascii="Georgia" w:cs="Georgia" w:eastAsia="Georgia" w:hAnsi="Georgia"/>
          <w:b/>
          <w:bCs/>
          <w:color w:val="1C1917"/>
          <w:sz w:val="28"/>
          <w:szCs w:val="28"/>
        </w:rPr>
        <w:t xml:space="preserve">5. Technical capability and capacity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Products or services offered relevant to this requirement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Production or service capacity and current utilisation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Key equipment and test facilities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Design and engineering resources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Sub-contracted processes and main sub-suppliers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Three relevant contracts in the last three years (customer, value, scope)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Quality management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Quality certification (standard, certifying body, expiry)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Incoming, in-process and final inspection practice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Traceability of materials and batches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Non-conformance and corrective action process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Delivery and quality performance with main customers (last 12 months)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Health, safety, environment and social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Health and safety certification or policy; accident rate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Environmental certification or policy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Energy and carbon data available for the product or site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Social compliance audits (e.g. SMETA, SA8000) and results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Information security controls (if handling the buyer's data), or answers to template 28</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7a. Resilience and responsible use of technology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Business continuity plan, last test date and alternative production sites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Critical sub-tier sources and the countries they are in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Ability to provide verified embedded emissions for CBAM goods (template 33)</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Use of AI tools that process the buyer's data, and how outputs are controlled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8. Scoring guide (internal 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6"/>
        <w:gridCol w:w="1349"/>
        <w:gridCol w:w="5013"/>
      </w:tblGrid>
      <w:tr>
        <w:trPr>
          <w:cantSplit/>
          <w:tblHeader/>
        </w:trPr>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Section</w:t>
            </w:r>
          </w:p>
        </w:tc>
        <w:tc>
          <w:tcPr>
            <w:tcW w:type="dxa" w:w="134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Weight</w:t>
            </w:r>
          </w:p>
        </w:tc>
        <w:tc>
          <w:tcPr>
            <w:tcW w:type="dxa" w:w="50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Scoring basis (0 to 5)</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 Eligibility and ethics</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Pass / fail</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Any unresolved "yes" in the exclusion questions means fail.</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4. Financial standing</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Pass / fail</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Minimum turnover and stability thresholds set in advance.</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 Technical capability</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0 none, 3 meets requirement, 5 exceeds with evidence.</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6. Quality management</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[35%]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As above.</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 HSE and social</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As above.</w:t>
            </w:r>
          </w:p>
        </w:tc>
      </w:tr>
      <w:tr>
        <w:trPr>
          <w:cantSplit/>
          <w:tblHeader w:val="false"/>
          <w:trHeight w:val="360" w:hRule="atLeast"/>
        </w:trPr>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7a. Resilience and technology</w:t>
            </w:r>
          </w:p>
        </w:tc>
        <w:tc>
          <w:tcPr>
            <w:tcW w:type="dxa" w:w="134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50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As above.</w:t>
            </w: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Supplier appraisal does not have to slow the timetable. Running document review and site audits in parallel with the quality team, rather than one after the other, allows newly found manufacturers to be qualified within weeks and invited to the same tender.</w:t>
      </w:r>
    </w:p>
    <w:p>
      <w:pPr>
        <w:keepNext/>
        <w:pBdr>
          <w:bottom w:val="single" w:color="A16207" w:sz="6" w:space="4"/>
        </w:pBdr>
        <w:spacing w:after="120" w:before="320"/>
      </w:pPr>
      <w:r>
        <w:rPr>
          <w:rFonts w:ascii="Georgia" w:cs="Georgia" w:eastAsia="Georgia" w:hAnsi="Georgia"/>
          <w:b/>
          <w:bCs/>
          <w:color w:val="1C1917"/>
          <w:sz w:val="28"/>
          <w:szCs w:val="28"/>
        </w:rPr>
        <w:t xml:space="preserve">9. Supplier declaration</w:t>
      </w:r>
    </w:p>
    <w:p>
      <w:pPr>
        <w:spacing w:after="100" w:before="60" w:line="276"/>
      </w:pPr>
      <w:r>
        <w:rPr>
          <w:rFonts w:ascii="Arial" w:cs="Arial" w:eastAsia="Arial" w:hAnsi="Arial"/>
          <w:color w:val="1C1917"/>
          <w:sz w:val="20"/>
          <w:szCs w:val="20"/>
        </w:rPr>
        <w:t xml:space="preserve">I confirm that the information given in this questionnaire is accurate and complete, and that I am authorised to submit it on behalf of the company.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Signature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Authorised signatory (supplier)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NSM-09  Supplier Pre-Qualification Questionnaire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Pre-Qualification Questionnaire</dc:title>
  <dc:creator>NSM Sourcing</dc:creator>
  <dc:description>Supplier appraisal before tender: confirms that a supplier is eligible, financially sound and technically capable.</dc:description>
  <cp:lastModifiedBy>Un-named</cp:lastModifiedBy>
  <cp:revision>1</cp:revision>
  <dcterms:created xsi:type="dcterms:W3CDTF">2026-10-12T12:02:48.387Z</dcterms:created>
  <dcterms:modified xsi:type="dcterms:W3CDTF">2026-10-12T12:02:48.388Z</dcterms:modified>
</cp:coreProperties>
</file>

<file path=docProps/custom.xml><?xml version="1.0" encoding="utf-8"?>
<Properties xmlns="http://schemas.openxmlformats.org/officeDocument/2006/custom-properties" xmlns:vt="http://schemas.openxmlformats.org/officeDocument/2006/docPropsVTypes"/>
</file>