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854D0E"/>
          <w:spacing w:val="30"/>
          <w:sz w:val="17"/>
          <w:szCs w:val="17"/>
        </w:rPr>
        <w:t xml:space="preserve">NSM SOURCING  ·  PROCUREMENT TEMPLATE  NSM-06</w:t>
      </w:r>
    </w:p>
    <w:p>
      <w:pPr>
        <w:spacing w:after="80"/>
      </w:pPr>
      <w:r>
        <w:rPr>
          <w:rFonts w:ascii="Georgia" w:cs="Georgia" w:eastAsia="Georgia" w:hAnsi="Georgia"/>
          <w:b/>
          <w:bCs/>
          <w:color w:val="1C1917"/>
          <w:sz w:val="44"/>
          <w:szCs w:val="44"/>
        </w:rPr>
        <w:t xml:space="preserve">Procurement Strategy</w:t>
      </w:r>
    </w:p>
    <w:p>
      <w:pPr>
        <w:spacing w:after="160" w:before="60" w:line="276"/>
      </w:pPr>
      <w:r>
        <w:rPr>
          <w:rFonts w:ascii="Arial" w:cs="Arial" w:eastAsia="Arial" w:hAnsi="Arial"/>
          <w:color w:val="57534E"/>
          <w:sz w:val="22"/>
          <w:szCs w:val="22"/>
        </w:rPr>
        <w:t xml:space="preserve">A short, decision-ready plan for one requirement or category: what we buy, from which market, by which route and how we will judge success.</w:t>
      </w:r>
    </w:p>
    <w:p>
      <w:pPr>
        <w:pBdr>
          <w:bottom w:val="single" w:color="D6D3CE" w:sz="4" w:space="6"/>
        </w:pBdr>
        <w:spacing w:after="200"/>
      </w:pPr>
      <w:r>
        <w:rPr>
          <w:rFonts w:ascii="Arial" w:cs="Arial" w:eastAsia="Arial" w:hAnsi="Arial"/>
          <w:b/>
          <w:bCs/>
          <w:color w:val="1C1917"/>
          <w:sz w:val="18"/>
          <w:szCs w:val="18"/>
        </w:rPr>
        <w:t xml:space="preserve">Procurement and supply cycle stage: </w:t>
      </w:r>
      <w:r>
        <w:rPr>
          <w:rFonts w:ascii="Arial" w:cs="Arial" w:eastAsia="Arial" w:hAnsi="Arial"/>
          <w:color w:val="57534E"/>
          <w:sz w:val="18"/>
          <w:szCs w:val="18"/>
        </w:rPr>
        <w:t xml:space="preserve">Strategy</w:t>
      </w:r>
    </w:p>
    <w:p>
      <w:pPr>
        <w:spacing w:after="80" w:before="120"/>
      </w:pPr>
      <w:r>
        <w:rPr>
          <w:rFonts w:ascii="Georgia" w:cs="Georgia" w:eastAsia="Georgia" w:hAnsi="Georgia"/>
          <w:b/>
          <w:bCs/>
          <w:color w:val="1C1917"/>
          <w:sz w:val="24"/>
          <w:szCs w:val="24"/>
        </w:rPr>
        <w:t xml:space="preserve">How to use this template</w:t>
      </w:r>
    </w:p>
    <w:p>
      <w:pPr>
        <w:pStyle w:val="ListParagraph"/>
        <w:numPr>
          <w:ilvl w:val="0"/>
          <w:numId w:val="2"/>
        </w:numPr>
        <w:spacing w:after="30" w:before="10" w:line="276"/>
      </w:pPr>
      <w:r>
        <w:rPr>
          <w:rFonts w:ascii="Arial" w:cs="Arial" w:eastAsia="Arial" w:hAnsi="Arial"/>
          <w:color w:val="57534E"/>
          <w:sz w:val="19"/>
          <w:szCs w:val="19"/>
        </w:rPr>
        <w:t xml:space="preserve">Use for any requirement above your organisation's threshold for formal competition, or where supply risk is high. For a whole category, apply the same headings at category level.</w:t>
      </w:r>
    </w:p>
    <w:p>
      <w:pPr>
        <w:pStyle w:val="ListParagraph"/>
        <w:numPr>
          <w:ilvl w:val="0"/>
          <w:numId w:val="2"/>
        </w:numPr>
        <w:spacing w:after="30" w:before="10" w:line="276"/>
      </w:pPr>
      <w:r>
        <w:rPr>
          <w:rFonts w:ascii="Arial" w:cs="Arial" w:eastAsia="Arial" w:hAnsi="Arial"/>
          <w:color w:val="57534E"/>
          <w:sz w:val="19"/>
          <w:szCs w:val="19"/>
        </w:rPr>
        <w:t xml:space="preserve">Aim for four to six pages. Attach the supporting analysis (templates 03, 04 and 05) rather than repeating it.</w:t>
      </w:r>
    </w:p>
    <w:p>
      <w:pPr>
        <w:pStyle w:val="ListParagraph"/>
        <w:numPr>
          <w:ilvl w:val="0"/>
          <w:numId w:val="2"/>
        </w:numPr>
        <w:spacing w:after="30" w:before="10" w:line="276"/>
      </w:pPr>
      <w:r>
        <w:rPr>
          <w:rFonts w:ascii="Arial" w:cs="Arial" w:eastAsia="Arial" w:hAnsi="Arial"/>
          <w:color w:val="57534E"/>
          <w:sz w:val="19"/>
          <w:szCs w:val="19"/>
        </w:rPr>
        <w:t xml:space="preserve">Obtain approval of this strategy before market engagement begins. Changes after approval should be recorded in section 12.</w:t>
      </w:r>
    </w:p>
    <w:p>
      <w:pPr>
        <w:keepNext/>
        <w:pBdr>
          <w:bottom w:val="single" w:color="A16207" w:sz="6" w:space="4"/>
        </w:pBdr>
        <w:spacing w:after="120" w:before="320"/>
      </w:pPr>
      <w:r>
        <w:rPr>
          <w:rFonts w:ascii="Georgia" w:cs="Georgia" w:eastAsia="Georgia" w:hAnsi="Georgia"/>
          <w:b/>
          <w:bCs/>
          <w:color w:val="1C1917"/>
          <w:sz w:val="28"/>
          <w:szCs w:val="28"/>
        </w:rPr>
        <w:t xml:space="preserve">Document control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Organisation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Reference number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Version and date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Prepared by (name, role)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Reviewed and approved by</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Classification (e.g. internal, confidential)</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1. Executive summary</w:t>
      </w:r>
    </w:p>
    <w:p>
      <w:pPr>
        <w:spacing w:after="100" w:before="60" w:line="276"/>
      </w:pPr>
      <w:r>
        <w:rPr>
          <w:rFonts w:ascii="Arial" w:cs="Arial" w:eastAsia="Arial" w:hAnsi="Arial"/>
          <w:i/>
          <w:iCs/>
          <w:color w:val="57534E"/>
          <w:sz w:val="18"/>
          <w:szCs w:val="18"/>
        </w:rPr>
        <w:t xml:space="preserve">Five sentences: the need, the estimated value, the recommended route to market, the main risk and the decision requested.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Requirement and category</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Estimated whole-life value and currency</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Contract duration and options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Recommended route to market</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Decision requested and by when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2. Business need and objectives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55"/>
        <w:gridCol w:w="3373"/>
        <w:gridCol w:w="2410"/>
      </w:tblGrid>
      <w:tr>
        <w:trPr>
          <w:cantSplit/>
          <w:tblHeader/>
        </w:trPr>
        <w:tc>
          <w:tcPr>
            <w:tcW w:type="dxa" w:w="385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Objective</w:t>
            </w:r>
          </w:p>
        </w:tc>
        <w:tc>
          <w:tcPr>
            <w:tcW w:type="dxa" w:w="3373"/>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Measure of success</w:t>
            </w:r>
          </w:p>
        </w:tc>
        <w:tc>
          <w:tcPr>
            <w:tcW w:type="dxa" w:w="2410"/>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Priority</w:t>
            </w: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[e.g. Secure supply for the production plan]</w:t>
            </w:r>
          </w:p>
        </w:tc>
        <w:tc>
          <w:tcPr>
            <w:tcW w:type="dxa" w:w="337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[On-time delivery at or above target]</w:t>
            </w:r>
          </w:p>
        </w:tc>
        <w:tc>
          <w:tcPr>
            <w:tcW w:type="dxa" w:w="241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[High]</w:t>
            </w: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[e.g. Reduce total cost of ownership]</w:t>
            </w:r>
          </w:p>
        </w:tc>
        <w:tc>
          <w:tcPr>
            <w:tcW w:type="dxa" w:w="337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[Against pre-tender estimate]</w:t>
            </w:r>
          </w:p>
        </w:tc>
        <w:tc>
          <w:tcPr>
            <w:tcW w:type="dxa" w:w="241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[e.g. Reduce dependence on one region]</w:t>
            </w:r>
          </w:p>
        </w:tc>
        <w:tc>
          <w:tcPr>
            <w:tcW w:type="dxa" w:w="337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[Qualified suppliers in two or more regions]</w:t>
            </w:r>
          </w:p>
        </w:tc>
        <w:tc>
          <w:tcPr>
            <w:tcW w:type="dxa" w:w="241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3. Stakeholders</w:t>
      </w:r>
    </w:p>
    <w:p>
      <w:pPr>
        <w:spacing w:after="100" w:before="60" w:line="276"/>
      </w:pPr>
      <w:r>
        <w:rPr>
          <w:rFonts w:ascii="Arial" w:cs="Arial" w:eastAsia="Arial" w:hAnsi="Arial"/>
          <w:color w:val="1C1917"/>
          <w:sz w:val="20"/>
          <w:szCs w:val="20"/>
        </w:rPr>
        <w:t xml:space="preserve">Summarise the key stakeholders, their interests and how they will be involved. Attach template 03 (Stakeholder Map and RACI).</w:t>
      </w:r>
    </w:p>
    <w:p>
      <w:pPr>
        <w:keepNext/>
        <w:pBdr>
          <w:bottom w:val="single" w:color="A16207" w:sz="6" w:space="4"/>
        </w:pBdr>
        <w:spacing w:after="120" w:before="320"/>
      </w:pPr>
      <w:r>
        <w:rPr>
          <w:rFonts w:ascii="Georgia" w:cs="Georgia" w:eastAsia="Georgia" w:hAnsi="Georgia"/>
          <w:b/>
          <w:bCs/>
          <w:color w:val="1C1917"/>
          <w:sz w:val="28"/>
          <w:szCs w:val="28"/>
        </w:rPr>
        <w:t xml:space="preserve">4. Spend and demand analysis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Historical spend (last 24 to 36 months)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Forecast demand and how certain it is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Current suppliers and share of spend</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Opportunities to consolidate demand</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Existing contracts and expiry dates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5. Supply market analysis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Number of capable suppliers and their locations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Market concentration and capacity</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Key cost drivers (materials, labour, energy, logistics, currency)</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Market trends and new entrants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Our attractiveness as a customer to this market</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ESG risks in the supply chain (labour, environment, ethics)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Exposure to conflict, chokepoints, sanctions and tariffs (template 29)</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Regulatory scan: CBAM, forced labour, due diligence, AI Act, export control (templates 30, 33, 34)</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pBdr>
          <w:left w:val="single" w:color="A16207" w:sz="18" w:space="8"/>
        </w:pBdr>
        <w:shd w:fill="F0EDE6" w:color="auto" w:val="clear"/>
        <w:spacing w:after="160" w:before="120" w:line="276"/>
        <w:ind w:left="160" w:right="120"/>
      </w:pPr>
      <w:r>
        <w:rPr>
          <w:rFonts w:ascii="Arial" w:cs="Arial" w:eastAsia="Arial" w:hAnsi="Arial"/>
          <w:b/>
          <w:bCs/>
          <w:color w:val="854D0E"/>
          <w:sz w:val="18"/>
          <w:szCs w:val="18"/>
        </w:rPr>
        <w:t xml:space="preserve">Practitioner note.  </w:t>
      </w:r>
      <w:r>
        <w:rPr>
          <w:rFonts w:ascii="Arial" w:cs="Arial" w:eastAsia="Arial" w:hAnsi="Arial"/>
          <w:color w:val="1C1917"/>
          <w:sz w:val="18"/>
          <w:szCs w:val="18"/>
        </w:rPr>
        <w:t xml:space="preserve">When every capable bidder sits in the same region, competition between them may still leave prices well above the real cost. Map where else the capability exists before deciding the route to market; widening the field is often worth more than any negotiation.</w:t>
      </w:r>
    </w:p>
    <w:p>
      <w:pPr>
        <w:keepNext/>
        <w:pBdr>
          <w:bottom w:val="single" w:color="A16207" w:sz="6" w:space="4"/>
        </w:pBdr>
        <w:spacing w:after="120" w:before="320"/>
      </w:pPr>
      <w:r>
        <w:rPr>
          <w:rFonts w:ascii="Georgia" w:cs="Georgia" w:eastAsia="Georgia" w:hAnsi="Georgia"/>
          <w:b/>
          <w:bCs/>
          <w:color w:val="1C1917"/>
          <w:sz w:val="28"/>
          <w:szCs w:val="28"/>
        </w:rPr>
        <w:t xml:space="preserve">6. Positioning and make or buy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8"/>
        <w:gridCol w:w="2891"/>
        <w:gridCol w:w="6169"/>
      </w:tblGrid>
      <w:tr>
        <w:trPr>
          <w:cantSplit/>
          <w:tblHeader/>
        </w:trPr>
        <w:tc>
          <w:tcPr>
            <w:tcW w:type="dxa" w:w="578"/>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w:t>
            </w:r>
          </w:p>
        </w:tc>
        <w:tc>
          <w:tcPr>
            <w:tcW w:type="dxa" w:w="2891"/>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Supply positioning</w:t>
            </w:r>
          </w:p>
        </w:tc>
        <w:tc>
          <w:tcPr>
            <w:tcW w:type="dxa" w:w="616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Typical strategy</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Routine (low value, low risk)</w:t>
            </w:r>
          </w:p>
        </w:tc>
        <w:tc>
          <w:tcPr>
            <w:tcW w:type="dxa" w:w="61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Simplify: catalogues, framework agreements, low-cost ordering.</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Leverage (high value, low risk)</w:t>
            </w:r>
          </w:p>
        </w:tc>
        <w:tc>
          <w:tcPr>
            <w:tcW w:type="dxa" w:w="61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Compete: tender, consolidate volume, negotiate on total cost.</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Bottleneck (low value, high risk)</w:t>
            </w:r>
          </w:p>
        </w:tc>
        <w:tc>
          <w:tcPr>
            <w:tcW w:type="dxa" w:w="61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Secure: approve alternates, hold buffer stock, simplify the specification.</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Strategic (high value, high risk)</w:t>
            </w:r>
          </w:p>
        </w:tc>
        <w:tc>
          <w:tcPr>
            <w:tcW w:type="dxa" w:w="616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Partner: longer contracts, joint development, structured relationship management.</w:t>
            </w:r>
          </w:p>
        </w:tc>
      </w:tr>
    </w:tbl>
    <w:p>
      <w:pPr>
        <w:spacing w:after="60" w:before="0" w:line="276"/>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Make or buy assessment (if relevant)</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Rationale for the chosen position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7. Scenarios and resilience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98"/>
        <w:gridCol w:w="2313"/>
        <w:gridCol w:w="2313"/>
        <w:gridCol w:w="2314"/>
      </w:tblGrid>
      <w:tr>
        <w:trPr>
          <w:cantSplit/>
          <w:tblHeader/>
        </w:trPr>
        <w:tc>
          <w:tcPr>
            <w:tcW w:type="dxa" w:w="2698"/>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Scenario</w:t>
            </w:r>
          </w:p>
        </w:tc>
        <w:tc>
          <w:tcPr>
            <w:tcW w:type="dxa" w:w="2313"/>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Effect on supply and cost</w:t>
            </w:r>
          </w:p>
        </w:tc>
        <w:tc>
          <w:tcPr>
            <w:tcW w:type="dxa" w:w="2313"/>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Early warning indicator</w:t>
            </w:r>
          </w:p>
        </w:tc>
        <w:tc>
          <w:tcPr>
            <w:tcW w:type="dxa" w:w="2314"/>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Planned response</w:t>
            </w: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[Energy or freight price shock]</w:t>
            </w:r>
          </w:p>
        </w:tc>
        <w:tc>
          <w:tcPr>
            <w:tcW w:type="dxa" w:w="231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31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[e.g. Brent, diesel, container index]</w:t>
            </w:r>
          </w:p>
        </w:tc>
        <w:tc>
          <w:tcPr>
            <w:tcW w:type="dxa" w:w="231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[Index-linked clause, template 32]</w:t>
            </w: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[Chokepoint closure or route diversion]</w:t>
            </w:r>
          </w:p>
        </w:tc>
        <w:tc>
          <w:tcPr>
            <w:tcW w:type="dxa" w:w="231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31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[Carrier advisories]</w:t>
            </w:r>
          </w:p>
        </w:tc>
        <w:tc>
          <w:tcPr>
            <w:tcW w:type="dxa" w:w="231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[Alternative route, buffer stock]</w:t>
            </w: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[New tariff, trade remedy or sanctions listing]</w:t>
            </w:r>
          </w:p>
        </w:tc>
        <w:tc>
          <w:tcPr>
            <w:tcW w:type="dxa" w:w="231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31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[Official journals, screening alerts]</w:t>
            </w:r>
          </w:p>
        </w:tc>
        <w:tc>
          <w:tcPr>
            <w:tcW w:type="dxa" w:w="231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[Second source in another country]</w:t>
            </w: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[Failure of a key supplier or site]</w:t>
            </w:r>
          </w:p>
        </w:tc>
        <w:tc>
          <w:tcPr>
            <w:tcW w:type="dxa" w:w="231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313"/>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[Financial signals, delivery performance]</w:t>
            </w:r>
          </w:p>
        </w:tc>
        <w:tc>
          <w:tcPr>
            <w:tcW w:type="dxa" w:w="231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[Qualified alternative, template 31]</w:t>
            </w:r>
          </w:p>
        </w:tc>
      </w:tr>
    </w:tbl>
    <w:p>
      <w:pPr>
        <w:spacing w:after="60" w:before="0" w:line="276"/>
      </w:pPr>
    </w:p>
    <w:p>
      <w:pPr>
        <w:pBdr>
          <w:left w:val="single" w:color="A16207" w:sz="18" w:space="8"/>
        </w:pBdr>
        <w:shd w:fill="F0EDE6" w:color="auto" w:val="clear"/>
        <w:spacing w:after="160" w:before="120" w:line="276"/>
        <w:ind w:left="160" w:right="120"/>
      </w:pPr>
      <w:r>
        <w:rPr>
          <w:rFonts w:ascii="Arial" w:cs="Arial" w:eastAsia="Arial" w:hAnsi="Arial"/>
          <w:b/>
          <w:bCs/>
          <w:color w:val="854D0E"/>
          <w:sz w:val="18"/>
          <w:szCs w:val="18"/>
        </w:rPr>
        <w:t xml:space="preserve">Practitioner note.  </w:t>
      </w:r>
      <w:r>
        <w:rPr>
          <w:rFonts w:ascii="Arial" w:cs="Arial" w:eastAsia="Arial" w:hAnsi="Arial"/>
          <w:color w:val="1C1917"/>
          <w:sz w:val="18"/>
          <w:szCs w:val="18"/>
        </w:rPr>
        <w:t xml:space="preserve">A strategy built on one forecast is fragile. Four or five plausible scenarios, each with an indicator to watch and a response agreed in advance, cost little to prepare and turn a disruption from a crisis into a decision already taken.</w:t>
      </w:r>
    </w:p>
    <w:p>
      <w:pPr>
        <w:keepNext/>
        <w:pBdr>
          <w:bottom w:val="single" w:color="A16207" w:sz="6" w:space="4"/>
        </w:pBdr>
        <w:spacing w:after="120" w:before="320"/>
      </w:pPr>
      <w:r>
        <w:rPr>
          <w:rFonts w:ascii="Georgia" w:cs="Georgia" w:eastAsia="Georgia" w:hAnsi="Georgia"/>
          <w:b/>
          <w:bCs/>
          <w:color w:val="1C1917"/>
          <w:sz w:val="28"/>
          <w:szCs w:val="28"/>
        </w:rPr>
        <w:t xml:space="preserve">8. Route to market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8"/>
        <w:gridCol w:w="3276"/>
        <w:gridCol w:w="5784"/>
      </w:tblGrid>
      <w:tr>
        <w:trPr>
          <w:cantSplit/>
          <w:tblHeader/>
        </w:trPr>
        <w:tc>
          <w:tcPr>
            <w:tcW w:type="dxa" w:w="578"/>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w:t>
            </w:r>
          </w:p>
        </w:tc>
        <w:tc>
          <w:tcPr>
            <w:tcW w:type="dxa" w:w="3276"/>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Route</w:t>
            </w:r>
          </w:p>
        </w:tc>
        <w:tc>
          <w:tcPr>
            <w:tcW w:type="dxa" w:w="5784"/>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Conditions</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Request for quotation (three or more quotations)</w:t>
            </w:r>
          </w:p>
        </w:tc>
        <w:tc>
          <w:tcPr>
            <w:tcW w:type="dxa" w:w="578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Simple, well-specified requirement; price is the main differentiator.</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Single-stage tender (ITT / RFP)</w:t>
            </w:r>
          </w:p>
        </w:tc>
        <w:tc>
          <w:tcPr>
            <w:tcW w:type="dxa" w:w="578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Clear specification; several qualified suppliers.</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Two-stage tender (pre-qualification, then ITT)</w:t>
            </w:r>
          </w:p>
        </w:tc>
        <w:tc>
          <w:tcPr>
            <w:tcW w:type="dxa" w:w="578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Many potential suppliers or high risk; appraisal needed first.</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Electronic reverse auction</w:t>
            </w:r>
          </w:p>
        </w:tc>
        <w:tc>
          <w:tcPr>
            <w:tcW w:type="dxa" w:w="578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Commodity-like items, fully specified, enough qualified bidders.</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Framework agreement with call-off orders</w:t>
            </w:r>
          </w:p>
        </w:tc>
        <w:tc>
          <w:tcPr>
            <w:tcW w:type="dxa" w:w="578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Repeated demand with uncertain timing or quantities.</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Single or direct source</w:t>
            </w:r>
          </w:p>
        </w:tc>
        <w:tc>
          <w:tcPr>
            <w:tcW w:type="dxa" w:w="578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Only one capable supplier. Complete template 18.</w:t>
            </w: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9. Evaluation approach</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Pass or fail criteria (compliance, qualification)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Award basis (lowest compliant price, or most advantageous by weighted criteria)</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Quality and price weighting, with reasons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Price evaluation method (unit price, whole-life cost, landed cost)</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Evaluation panel members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Use of AI tools in sourcing and evaluation, and the human checkpoints (template 26)</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10. Commercial and contract approach</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Form of contract and terms (buyer standard, supplier, industry model)</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Pricing mechanism (fixed, indexed, cost-plus, target cost)</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Payment terms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Performance security, warranty, liquidated damages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Key performance indicators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Exit and transition arrangements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Price adjustment mechanism: index, shares, base date, cap and floor (template 32)</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Allocation of new tariffs, duties and carbon costs between the parties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11. Risks</w:t>
      </w:r>
    </w:p>
    <w:p>
      <w:pPr>
        <w:spacing w:after="100" w:before="60" w:line="276"/>
      </w:pPr>
      <w:r>
        <w:rPr>
          <w:rFonts w:ascii="Arial" w:cs="Arial" w:eastAsia="Arial" w:hAnsi="Arial"/>
          <w:color w:val="1C1917"/>
          <w:sz w:val="20"/>
          <w:szCs w:val="20"/>
        </w:rPr>
        <w:t xml:space="preserve">List the top five risks and their mitigations. Attach template 05 (Supply Risk Register).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55"/>
        <w:gridCol w:w="1445"/>
        <w:gridCol w:w="4338"/>
      </w:tblGrid>
      <w:tr>
        <w:trPr>
          <w:cantSplit/>
          <w:tblHeader/>
        </w:trPr>
        <w:tc>
          <w:tcPr>
            <w:tcW w:type="dxa" w:w="385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Risk</w:t>
            </w:r>
          </w:p>
        </w:tc>
        <w:tc>
          <w:tcPr>
            <w:tcW w:type="dxa" w:w="144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Rating</w:t>
            </w:r>
          </w:p>
        </w:tc>
        <w:tc>
          <w:tcPr>
            <w:tcW w:type="dxa" w:w="4338"/>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Mitigation and owner</w:t>
            </w: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43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43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43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43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44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43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12. Timeline and approvals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2409"/>
        <w:gridCol w:w="2410"/>
      </w:tblGrid>
      <w:tr>
        <w:trPr>
          <w:cantSplit/>
          <w:tblHeader/>
        </w:trPr>
        <w:tc>
          <w:tcPr>
            <w:tcW w:type="dxa" w:w="481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Milestone</w:t>
            </w:r>
          </w:p>
        </w:tc>
        <w:tc>
          <w:tcPr>
            <w:tcW w:type="dxa" w:w="240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Planned date</w:t>
            </w:r>
          </w:p>
        </w:tc>
        <w:tc>
          <w:tcPr>
            <w:tcW w:type="dxa" w:w="2410"/>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Owner</w:t>
            </w:r>
          </w:p>
        </w:tc>
      </w:tr>
      <w:tr>
        <w:trPr>
          <w:cantSplit/>
          <w:tblHeader w:val="false"/>
          <w:trHeight w:val="360" w:hRule="atLeast"/>
        </w:trPr>
        <w:tc>
          <w:tcPr>
            <w:tcW w:type="dxa" w:w="481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Strategy approved</w:t>
            </w:r>
          </w:p>
        </w:tc>
        <w:tc>
          <w:tcPr>
            <w:tcW w:type="dxa" w:w="240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41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481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Market engagement (RFI) complete</w:t>
            </w:r>
          </w:p>
        </w:tc>
        <w:tc>
          <w:tcPr>
            <w:tcW w:type="dxa" w:w="240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41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481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Tender issued</w:t>
            </w:r>
          </w:p>
        </w:tc>
        <w:tc>
          <w:tcPr>
            <w:tcW w:type="dxa" w:w="240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41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481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Bids received</w:t>
            </w:r>
          </w:p>
        </w:tc>
        <w:tc>
          <w:tcPr>
            <w:tcW w:type="dxa" w:w="240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41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481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Evaluation and negotiation complete</w:t>
            </w:r>
          </w:p>
        </w:tc>
        <w:tc>
          <w:tcPr>
            <w:tcW w:type="dxa" w:w="240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41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481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Contract awarded</w:t>
            </w:r>
          </w:p>
        </w:tc>
        <w:tc>
          <w:tcPr>
            <w:tcW w:type="dxa" w:w="240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41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481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Contract start</w:t>
            </w:r>
          </w:p>
        </w:tc>
        <w:tc>
          <w:tcPr>
            <w:tcW w:type="dxa" w:w="240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41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13"/>
        <w:gridCol w:w="2505"/>
        <w:gridCol w:w="2891"/>
        <w:gridCol w:w="1929"/>
      </w:tblGrid>
      <w:tr>
        <w:trPr>
          <w:cantSplit/>
          <w:tblHeader/>
        </w:trPr>
        <w:tc>
          <w:tcPr>
            <w:tcW w:type="dxa" w:w="2313"/>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Role</w:t>
            </w:r>
          </w:p>
        </w:tc>
        <w:tc>
          <w:tcPr>
            <w:tcW w:type="dxa" w:w="250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Name</w:t>
            </w:r>
          </w:p>
        </w:tc>
        <w:tc>
          <w:tcPr>
            <w:tcW w:type="dxa" w:w="2891"/>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Signature</w:t>
            </w:r>
          </w:p>
        </w:tc>
        <w:tc>
          <w:tcPr>
            <w:tcW w:type="dxa" w:w="192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Date</w:t>
            </w:r>
          </w:p>
        </w:tc>
      </w:tr>
      <w:tr>
        <w:trPr>
          <w:cantSplit/>
          <w:tblHeader w:val="false"/>
          <w:trHeight w:val="520" w:hRule="atLeast"/>
        </w:trPr>
        <w:tc>
          <w:tcPr>
            <w:tcW w:type="dxa" w:w="231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Procurement lead</w:t>
            </w:r>
          </w:p>
        </w:tc>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520" w:hRule="atLeast"/>
        </w:trPr>
        <w:tc>
          <w:tcPr>
            <w:tcW w:type="dxa" w:w="231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Budget holder</w:t>
            </w:r>
          </w:p>
        </w:tc>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520" w:hRule="atLeast"/>
        </w:trPr>
        <w:tc>
          <w:tcPr>
            <w:tcW w:type="dxa" w:w="231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Approver (per delegated authority)</w:t>
            </w:r>
          </w:p>
        </w:tc>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sectPr>
      <w:headerReference w:type="default" r:id="rId7"/>
      <w:footerReference w:type="default" r:id="rId8"/>
      <w:pgSz w:w="11906" w:h="16838" w:orient="portrait"/>
      <w:pgMar w:top="1134" w:right="1134" w:bottom="1134" w:left="1134"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D3CE" w:sz="4" w:space="4"/>
      </w:pBdr>
    </w:pPr>
    <w:r>
      <w:rPr>
        <w:rFonts w:ascii="Arial" w:cs="Arial" w:eastAsia="Arial" w:hAnsi="Arial"/>
        <w:color w:val="57534E"/>
        <w:sz w:val="15"/>
        <w:szCs w:val="15"/>
      </w:rPr>
      <w:t xml:space="preserve">NSM Sourcing  ·  nsmsourcing.com  ·  </w:t>
    </w:r>
    <w:r>
      <w:rPr>
        <w:rFonts w:ascii="Arial" w:cs="Arial" w:eastAsia="Arial" w:hAnsi="Arial"/>
        <w:color w:val="57534E"/>
        <w:sz w:val="15"/>
        <w:szCs w:val="15"/>
      </w:rPr>
      <w:t xml:space="preserve">CC BY 4.0: free to use and adapt with credit to NSM Sourcing. General guidance, not legal advice.</w:t>
    </w:r>
  </w:p>
  <w:p>
    <w:pPr>
      <w:jc w:val="right"/>
    </w:pPr>
    <w:r>
      <w:rPr>
        <w:rFonts w:ascii="Arial" w:cs="Arial" w:eastAsia="Arial" w:hAnsi="Arial"/>
        <w:color w:val="57534E"/>
        <w:sz w:val="15"/>
        <w:szCs w:val="15"/>
      </w:rPr>
      <w:t xml:space="preserve">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7534E"/>
        <w:sz w:val="15"/>
        <w:szCs w:val="15"/>
      </w:rPr>
      <w:t xml:space="preserve">NSM-06  Procurement Strategy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decimal"/>
      <w:lvlText w:val="%1."/>
      <w:lvlJc w:val="left"/>
      <w:pPr>
        <w:ind w:left="400" w:hanging="300"/>
      </w:pPr>
    </w:lvl>
  </w:abstractNum>
  <w:abstractNum w:abstractNumId="4" w15:restartNumberingAfterBreak="0">
    <w:multiLevelType w:val="hybridMultilevel"/>
    <w:lvl w:ilvl="0" w15:tentative="1">
      <w:start w:val="1"/>
      <w:numFmt w:val="decimal"/>
      <w:lvlText w:val="%1."/>
      <w:lvlJc w:val="left"/>
      <w:pPr>
        <w:ind w:left="400" w:hanging="300"/>
      </w:pPr>
    </w:lvl>
  </w:abstractNum>
  <w:abstractNum w:abstractNumId="5" w15:restartNumberingAfterBreak="0">
    <w:multiLevelType w:val="hybridMultilevel"/>
    <w:lvl w:ilvl="0" w15:tentative="1">
      <w:start w:val="1"/>
      <w:numFmt w:val="decimal"/>
      <w:lvlText w:val="%1."/>
      <w:lvlJc w:val="left"/>
      <w:pPr>
        <w:ind w:left="400" w:hanging="300"/>
      </w:pPr>
    </w:lvl>
  </w:abstractNum>
  <w:abstractNum w:abstractNumId="6"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Strategy</dc:title>
  <dc:creator>NSM Sourcing</dc:creator>
  <dc:description>A short, decision-ready plan for one requirement or category: what we buy, from which market, by which route and how we will judge success.</dc:description>
  <cp:lastModifiedBy>Un-named</cp:lastModifiedBy>
  <cp:revision>1</cp:revision>
  <dcterms:created xsi:type="dcterms:W3CDTF">2026-10-12T12:02:48.287Z</dcterms:created>
  <dcterms:modified xsi:type="dcterms:W3CDTF">2026-10-12T12:02:48.287Z</dcterms:modified>
</cp:coreProperties>
</file>

<file path=docProps/custom.xml><?xml version="1.0" encoding="utf-8"?>
<Properties xmlns="http://schemas.openxmlformats.org/officeDocument/2006/custom-properties" xmlns:vt="http://schemas.openxmlformats.org/officeDocument/2006/docPropsVTypes"/>
</file>