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color w:val="854D0E"/>
          <w:spacing w:val="30"/>
          <w:sz w:val="17"/>
          <w:szCs w:val="17"/>
        </w:rPr>
        <w:t xml:space="preserve">NSM SOURCING  ·  PROCUREMENT TEMPLATE  NSM-02</w:t>
      </w:r>
    </w:p>
    <w:p>
      <w:pPr>
        <w:spacing w:after="80"/>
      </w:pPr>
      <w:r>
        <w:rPr>
          <w:rFonts w:ascii="Georgia" w:cs="Georgia" w:eastAsia="Georgia" w:hAnsi="Georgia"/>
          <w:b/>
          <w:bCs/>
          <w:color w:val="1C1917"/>
          <w:sz w:val="44"/>
          <w:szCs w:val="44"/>
        </w:rPr>
        <w:t xml:space="preserve">Specification and Statement of Work</w:t>
      </w:r>
    </w:p>
    <w:p>
      <w:pPr>
        <w:spacing w:after="160" w:before="60" w:line="276"/>
      </w:pPr>
      <w:r>
        <w:rPr>
          <w:rFonts w:ascii="Arial" w:cs="Arial" w:eastAsia="Arial" w:hAnsi="Arial"/>
          <w:color w:val="57534E"/>
          <w:sz w:val="22"/>
          <w:szCs w:val="22"/>
        </w:rPr>
        <w:t xml:space="preserve">Defines what is to be supplied, the standard it must meet and how acceptance will be judged.</w:t>
      </w:r>
    </w:p>
    <w:p>
      <w:pPr>
        <w:pBdr>
          <w:bottom w:val="single" w:color="D6D3CE" w:sz="4" w:space="6"/>
        </w:pBdr>
        <w:spacing w:after="200"/>
      </w:pPr>
      <w:r>
        <w:rPr>
          <w:rFonts w:ascii="Arial" w:cs="Arial" w:eastAsia="Arial" w:hAnsi="Arial"/>
          <w:b/>
          <w:bCs/>
          <w:color w:val="1C1917"/>
          <w:sz w:val="18"/>
          <w:szCs w:val="18"/>
        </w:rPr>
        <w:t xml:space="preserve">Procurement and supply cycle stage: </w:t>
      </w:r>
      <w:r>
        <w:rPr>
          <w:rFonts w:ascii="Arial" w:cs="Arial" w:eastAsia="Arial" w:hAnsi="Arial"/>
          <w:color w:val="57534E"/>
          <w:sz w:val="18"/>
          <w:szCs w:val="18"/>
        </w:rPr>
        <w:t xml:space="preserve">Specification</w:t>
      </w:r>
    </w:p>
    <w:p>
      <w:pPr>
        <w:spacing w:after="80" w:before="120"/>
      </w:pPr>
      <w:r>
        <w:rPr>
          <w:rFonts w:ascii="Georgia" w:cs="Georgia" w:eastAsia="Georgia" w:hAnsi="Georgia"/>
          <w:b/>
          <w:bCs/>
          <w:color w:val="1C1917"/>
          <w:sz w:val="24"/>
          <w:szCs w:val="24"/>
        </w:rPr>
        <w:t xml:space="preserve">How to use this template</w:t>
      </w:r>
    </w:p>
    <w:p>
      <w:pPr>
        <w:pStyle w:val="ListParagraph"/>
        <w:numPr>
          <w:ilvl w:val="0"/>
          <w:numId w:val="2"/>
        </w:numPr>
        <w:spacing w:after="30" w:before="10" w:line="276"/>
      </w:pPr>
      <w:r>
        <w:rPr>
          <w:rFonts w:ascii="Arial" w:cs="Arial" w:eastAsia="Arial" w:hAnsi="Arial"/>
          <w:color w:val="57534E"/>
          <w:sz w:val="19"/>
          <w:szCs w:val="19"/>
        </w:rPr>
        <w:t xml:space="preserve">Write the specification with the people who will use the product or service. Procurement owns the structure and the commercial neutrality of the wording.</w:t>
      </w:r>
    </w:p>
    <w:p>
      <w:pPr>
        <w:pStyle w:val="ListParagraph"/>
        <w:numPr>
          <w:ilvl w:val="0"/>
          <w:numId w:val="2"/>
        </w:numPr>
        <w:spacing w:after="30" w:before="10" w:line="276"/>
      </w:pPr>
      <w:r>
        <w:rPr>
          <w:rFonts w:ascii="Arial" w:cs="Arial" w:eastAsia="Arial" w:hAnsi="Arial"/>
          <w:color w:val="57534E"/>
          <w:sz w:val="19"/>
          <w:szCs w:val="19"/>
        </w:rPr>
        <w:t xml:space="preserve">Choose the specification type in section 2 first. It decides how much detail the rest of the document needs.</w:t>
      </w:r>
    </w:p>
    <w:p>
      <w:pPr>
        <w:pStyle w:val="ListParagraph"/>
        <w:numPr>
          <w:ilvl w:val="0"/>
          <w:numId w:val="2"/>
        </w:numPr>
        <w:spacing w:after="30" w:before="10" w:line="276"/>
      </w:pPr>
      <w:r>
        <w:rPr>
          <w:rFonts w:ascii="Arial" w:cs="Arial" w:eastAsia="Arial" w:hAnsi="Arial"/>
          <w:color w:val="57534E"/>
          <w:sz w:val="19"/>
          <w:szCs w:val="19"/>
        </w:rPr>
        <w:t xml:space="preserve">Avoid brand names and supplier part numbers unless compatibility makes them unavoidable. If you must use one, add "or equivalent" and say how equivalence will be judged.</w:t>
      </w:r>
    </w:p>
    <w:p>
      <w:pPr>
        <w:keepNext/>
        <w:pBdr>
          <w:bottom w:val="single" w:color="A16207" w:sz="6" w:space="4"/>
        </w:pBdr>
        <w:spacing w:after="120" w:before="320"/>
      </w:pPr>
      <w:r>
        <w:rPr>
          <w:rFonts w:ascii="Georgia" w:cs="Georgia" w:eastAsia="Georgia" w:hAnsi="Georgia"/>
          <w:b/>
          <w:bCs/>
          <w:color w:val="1C1917"/>
          <w:sz w:val="28"/>
          <w:szCs w:val="28"/>
        </w:rPr>
        <w:t xml:space="preserve">Document control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73"/>
        <w:gridCol w:w="6265"/>
      </w:tblGrid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Reference number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Version and date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Prepared by (name, role)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Reviewed and approved by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Classification (e.g. internal, confidential)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</w:tbl>
    <w:p>
      <w:pPr>
        <w:spacing w:after="60" w:before="0" w:line="276"/>
      </w:pPr>
    </w:p>
    <w:p>
      <w:pPr>
        <w:keepNext/>
        <w:pBdr>
          <w:bottom w:val="single" w:color="A16207" w:sz="6" w:space="4"/>
        </w:pBdr>
        <w:spacing w:after="120" w:before="320"/>
      </w:pPr>
      <w:r>
        <w:rPr>
          <w:rFonts w:ascii="Georgia" w:cs="Georgia" w:eastAsia="Georgia" w:hAnsi="Georgia"/>
          <w:b/>
          <w:bCs/>
          <w:color w:val="1C1917"/>
          <w:sz w:val="28"/>
          <w:szCs w:val="28"/>
        </w:rPr>
        <w:t xml:space="preserve">1. Background and business need</w:t>
      </w:r>
    </w:p>
    <w:p>
      <w:pPr>
        <w:spacing w:after="100" w:before="60" w:line="276"/>
      </w:pPr>
      <w:r>
        <w:rPr>
          <w:rFonts w:ascii="Arial" w:cs="Arial" w:eastAsia="Arial" w:hAnsi="Arial"/>
          <w:i/>
          <w:iCs/>
          <w:color w:val="57534E"/>
          <w:sz w:val="18"/>
          <w:szCs w:val="18"/>
        </w:rPr>
        <w:t xml:space="preserve">Explain in plain language why the requirement exists, what problem it solves and what happens if it is not met. Suppliers propose better solutions when they understand the purpose.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73"/>
        <w:gridCol w:w="6265"/>
      </w:tblGrid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Requirement title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Business need and purpose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Users and location of use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Link to purchase requisition or project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Required by (date) and reason for the date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</w:tbl>
    <w:p>
      <w:pPr>
        <w:spacing w:after="60" w:before="0" w:line="276"/>
      </w:pPr>
    </w:p>
    <w:p>
      <w:pPr>
        <w:keepNext/>
        <w:pBdr>
          <w:bottom w:val="single" w:color="A16207" w:sz="6" w:space="4"/>
        </w:pBdr>
        <w:spacing w:after="120" w:before="320"/>
      </w:pPr>
      <w:r>
        <w:rPr>
          <w:rFonts w:ascii="Georgia" w:cs="Georgia" w:eastAsia="Georgia" w:hAnsi="Georgia"/>
          <w:b/>
          <w:bCs/>
          <w:color w:val="1C1917"/>
          <w:sz w:val="28"/>
          <w:szCs w:val="28"/>
        </w:rPr>
        <w:t xml:space="preserve">2. Specification type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78"/>
        <w:gridCol w:w="2891"/>
        <w:gridCol w:w="6169"/>
      </w:tblGrid>
      <w:tr>
        <w:trPr>
          <w:cantSplit/>
          <w:tblHeader/>
        </w:trPr>
        <w:tc>
          <w:tcPr>
            <w:tcW w:type="dxa" w:w="578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1C191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☐</w:t>
            </w:r>
          </w:p>
        </w:tc>
        <w:tc>
          <w:tcPr>
            <w:tcW w:type="dxa" w:w="289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1C191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Type</w:t>
            </w:r>
          </w:p>
        </w:tc>
        <w:tc>
          <w:tcPr>
            <w:tcW w:type="dxa" w:w="6169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1C191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Use when</w:t>
            </w: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578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☐</w:t>
            </w:r>
          </w:p>
        </w:tc>
        <w:tc>
          <w:tcPr>
            <w:tcW w:type="dxa" w:w="289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Performance (output) specification</w:t>
            </w:r>
          </w:p>
        </w:tc>
        <w:tc>
          <w:tcPr>
            <w:tcW w:type="dxa" w:w="6169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The market knows more than the buyer. State the outcome, the operating conditions and the performance levels; let suppliers propose the solution.</w:t>
            </w: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578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☐</w:t>
            </w:r>
          </w:p>
        </w:tc>
        <w:tc>
          <w:tcPr>
            <w:tcW w:type="dxa" w:w="289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Conformance (technical) specification</w:t>
            </w:r>
          </w:p>
        </w:tc>
        <w:tc>
          <w:tcPr>
            <w:tcW w:type="dxa" w:w="6169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Compatibility, safety or regulation fixes the design. State dimensions, materials, standards and tolerances precisely.</w:t>
            </w: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578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☐</w:t>
            </w:r>
          </w:p>
        </w:tc>
        <w:tc>
          <w:tcPr>
            <w:tcW w:type="dxa" w:w="289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Combined</w:t>
            </w:r>
          </w:p>
        </w:tc>
        <w:tc>
          <w:tcPr>
            <w:tcW w:type="dxa" w:w="6169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Core interfaces are fixed, the rest is open. Mark clearly which clauses are mandatory and which are performance targets.</w:t>
            </w:r>
          </w:p>
        </w:tc>
      </w:tr>
    </w:tbl>
    <w:p>
      <w:pPr>
        <w:spacing w:after="60" w:before="0" w:line="276"/>
      </w:pPr>
    </w:p>
    <w:p>
      <w:pPr>
        <w:keepNext/>
        <w:pBdr>
          <w:bottom w:val="single" w:color="A16207" w:sz="6" w:space="4"/>
        </w:pBdr>
        <w:spacing w:after="120" w:before="320"/>
      </w:pPr>
      <w:r>
        <w:rPr>
          <w:rFonts w:ascii="Georgia" w:cs="Georgia" w:eastAsia="Georgia" w:hAnsi="Georgia"/>
          <w:b/>
          <w:bCs/>
          <w:color w:val="1C1917"/>
          <w:sz w:val="28"/>
          <w:szCs w:val="28"/>
        </w:rPr>
        <w:t xml:space="preserve">3. Scope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"/>
        <w:gridCol w:w="5782"/>
        <w:gridCol w:w="1445"/>
        <w:gridCol w:w="1448"/>
      </w:tblGrid>
      <w:tr>
        <w:trPr>
          <w:cantSplit/>
          <w:tblHeader/>
        </w:trPr>
        <w:tc>
          <w:tcPr>
            <w:tcW w:type="dxa" w:w="96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1C191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Item</w:t>
            </w:r>
          </w:p>
        </w:tc>
        <w:tc>
          <w:tcPr>
            <w:tcW w:type="dxa" w:w="5782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1C191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Description of goods, works or services</w:t>
            </w:r>
          </w:p>
        </w:tc>
        <w:tc>
          <w:tcPr>
            <w:tcW w:type="dxa" w:w="144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1C191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Quantity</w:t>
            </w:r>
          </w:p>
        </w:tc>
        <w:tc>
          <w:tcPr>
            <w:tcW w:type="dxa" w:w="1448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1C191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Unit</w:t>
            </w: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96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5782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44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448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96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5782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44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448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96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5782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44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448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96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5782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44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448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96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5782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44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448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</w:tbl>
    <w:p>
      <w:pPr>
        <w:spacing w:after="60" w:before="0" w:line="276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73"/>
        <w:gridCol w:w="6265"/>
      </w:tblGrid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Included in scope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Excluded from scope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Interfaces with other contracts or systems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Options the buyer may take up later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</w:tbl>
    <w:p>
      <w:pPr>
        <w:spacing w:after="60" w:before="0" w:line="276"/>
      </w:pPr>
    </w:p>
    <w:p>
      <w:pPr>
        <w:keepNext/>
        <w:pBdr>
          <w:bottom w:val="single" w:color="A16207" w:sz="6" w:space="4"/>
        </w:pBdr>
        <w:spacing w:after="120" w:before="320"/>
      </w:pPr>
      <w:r>
        <w:rPr>
          <w:rFonts w:ascii="Georgia" w:cs="Georgia" w:eastAsia="Georgia" w:hAnsi="Georgia"/>
          <w:b/>
          <w:bCs/>
          <w:color w:val="1C1917"/>
          <w:sz w:val="28"/>
          <w:szCs w:val="28"/>
        </w:rPr>
        <w:t xml:space="preserve">4. Requirements</w:t>
      </w:r>
    </w:p>
    <w:p>
      <w:pPr>
        <w:spacing w:after="100" w:before="60" w:line="276"/>
      </w:pPr>
      <w:r>
        <w:rPr>
          <w:rFonts w:ascii="Arial" w:cs="Arial" w:eastAsia="Arial" w:hAnsi="Arial"/>
          <w:i/>
          <w:iCs/>
          <w:color w:val="57534E"/>
          <w:sz w:val="18"/>
          <w:szCs w:val="18"/>
        </w:rPr>
        <w:t xml:space="preserve">Number every requirement so bidders can answer line by line. Use "must" for mandatory requirements (failure means rejection) and "should" for desirable ones (scored).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67"/>
        <w:gridCol w:w="5300"/>
        <w:gridCol w:w="1349"/>
        <w:gridCol w:w="2122"/>
      </w:tblGrid>
      <w:tr>
        <w:trPr>
          <w:cantSplit/>
          <w:tblHeader/>
        </w:trPr>
        <w:tc>
          <w:tcPr>
            <w:tcW w:type="dxa" w:w="867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1C191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Ref.</w:t>
            </w:r>
          </w:p>
        </w:tc>
        <w:tc>
          <w:tcPr>
            <w:tcW w:type="dxa" w:w="5300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1C191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Requirement</w:t>
            </w:r>
          </w:p>
        </w:tc>
        <w:tc>
          <w:tcPr>
            <w:tcW w:type="dxa" w:w="1349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1C191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Must / Should</w:t>
            </w:r>
          </w:p>
        </w:tc>
        <w:tc>
          <w:tcPr>
            <w:tcW w:type="dxa" w:w="2122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1C191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How it will be verified</w:t>
            </w: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867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R1</w:t>
            </w:r>
          </w:p>
        </w:tc>
        <w:tc>
          <w:tcPr>
            <w:tcW w:type="dxa" w:w="5300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[Functional or performance requirement]</w:t>
            </w:r>
          </w:p>
        </w:tc>
        <w:tc>
          <w:tcPr>
            <w:tcW w:type="dxa" w:w="1349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Must</w:t>
            </w:r>
          </w:p>
        </w:tc>
        <w:tc>
          <w:tcPr>
            <w:tcW w:type="dxa" w:w="2122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[Test, inspection, certificate]</w:t>
            </w: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867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R2</w:t>
            </w:r>
          </w:p>
        </w:tc>
        <w:tc>
          <w:tcPr>
            <w:tcW w:type="dxa" w:w="5300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[Technical standard, e.g. EN or IEC reference]</w:t>
            </w:r>
          </w:p>
        </w:tc>
        <w:tc>
          <w:tcPr>
            <w:tcW w:type="dxa" w:w="1349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Must</w:t>
            </w:r>
          </w:p>
        </w:tc>
        <w:tc>
          <w:tcPr>
            <w:tcW w:type="dxa" w:w="2122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[Type test report]</w:t>
            </w: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867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R3</w:t>
            </w:r>
          </w:p>
        </w:tc>
        <w:tc>
          <w:tcPr>
            <w:tcW w:type="dxa" w:w="5300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[Quality requirement, e.g. ISO 9001 certified manufacturing]</w:t>
            </w:r>
          </w:p>
        </w:tc>
        <w:tc>
          <w:tcPr>
            <w:tcW w:type="dxa" w:w="1349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Must</w:t>
            </w:r>
          </w:p>
        </w:tc>
        <w:tc>
          <w:tcPr>
            <w:tcW w:type="dxa" w:w="2122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[Valid certificate]</w:t>
            </w: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867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R4</w:t>
            </w:r>
          </w:p>
        </w:tc>
        <w:tc>
          <w:tcPr>
            <w:tcW w:type="dxa" w:w="5300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[Packaging, labelling, documentation, language]</w:t>
            </w:r>
          </w:p>
        </w:tc>
        <w:tc>
          <w:tcPr>
            <w:tcW w:type="dxa" w:w="1349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Should</w:t>
            </w:r>
          </w:p>
        </w:tc>
        <w:tc>
          <w:tcPr>
            <w:tcW w:type="dxa" w:w="2122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[Sample, document review]</w:t>
            </w: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867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R5</w:t>
            </w:r>
          </w:p>
        </w:tc>
        <w:tc>
          <w:tcPr>
            <w:tcW w:type="dxa" w:w="5300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[Sustainability requirement, e.g. energy efficiency, recyclable packaging]</w:t>
            </w:r>
          </w:p>
        </w:tc>
        <w:tc>
          <w:tcPr>
            <w:tcW w:type="dxa" w:w="1349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Should</w:t>
            </w:r>
          </w:p>
        </w:tc>
        <w:tc>
          <w:tcPr>
            <w:tcW w:type="dxa" w:w="2122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[Declaration, data sheet]</w:t>
            </w: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867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R6</w:t>
            </w:r>
          </w:p>
        </w:tc>
        <w:tc>
          <w:tcPr>
            <w:tcW w:type="dxa" w:w="5300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[Data and cyber security for software or connected equipment: secure configuration, patching, vulnerability disclosure (template 28)]</w:t>
            </w:r>
          </w:p>
        </w:tc>
        <w:tc>
          <w:tcPr>
            <w:tcW w:type="dxa" w:w="1349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Must</w:t>
            </w:r>
          </w:p>
        </w:tc>
        <w:tc>
          <w:tcPr>
            <w:tcW w:type="dxa" w:w="2122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[Questionnaire, certificate]</w:t>
            </w: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867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R7</w:t>
            </w:r>
          </w:p>
        </w:tc>
        <w:tc>
          <w:tcPr>
            <w:tcW w:type="dxa" w:w="5300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[Embedded emissions or product carbon data; for CBAM goods, actual verified values (template 33)]</w:t>
            </w:r>
          </w:p>
        </w:tc>
        <w:tc>
          <w:tcPr>
            <w:tcW w:type="dxa" w:w="1349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Should</w:t>
            </w:r>
          </w:p>
        </w:tc>
        <w:tc>
          <w:tcPr>
            <w:tcW w:type="dxa" w:w="2122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[Data form, verification report]</w:t>
            </w: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867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R8</w:t>
            </w:r>
          </w:p>
        </w:tc>
        <w:tc>
          <w:tcPr>
            <w:tcW w:type="dxa" w:w="5300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[Declaration of any AI functionality, the data it uses and how a person can check its outputs]</w:t>
            </w:r>
          </w:p>
        </w:tc>
        <w:tc>
          <w:tcPr>
            <w:tcW w:type="dxa" w:w="1349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Should</w:t>
            </w:r>
          </w:p>
        </w:tc>
        <w:tc>
          <w:tcPr>
            <w:tcW w:type="dxa" w:w="2122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[Declaration, demonstration]</w:t>
            </w: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867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1917"/>
                <w:sz w:val="18"/>
                <w:szCs w:val="18"/>
              </w:rPr>
              <w:t xml:space="preserve">R9</w:t>
            </w:r>
          </w:p>
        </w:tc>
        <w:tc>
          <w:tcPr>
            <w:tcW w:type="dxa" w:w="5300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349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2122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</w:tbl>
    <w:p>
      <w:pPr>
        <w:spacing w:after="60" w:before="0" w:line="276"/>
      </w:pPr>
    </w:p>
    <w:p>
      <w:pPr>
        <w:keepNext/>
        <w:pBdr>
          <w:bottom w:val="single" w:color="A16207" w:sz="6" w:space="4"/>
        </w:pBdr>
        <w:spacing w:after="120" w:before="320"/>
      </w:pPr>
      <w:r>
        <w:rPr>
          <w:rFonts w:ascii="Georgia" w:cs="Georgia" w:eastAsia="Georgia" w:hAnsi="Georgia"/>
          <w:b/>
          <w:bCs/>
          <w:color w:val="1C1917"/>
          <w:sz w:val="28"/>
          <w:szCs w:val="28"/>
        </w:rPr>
        <w:t xml:space="preserve">5. Service levels and deliverables (for services)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2891"/>
        <w:gridCol w:w="1927"/>
        <w:gridCol w:w="1929"/>
      </w:tblGrid>
      <w:tr>
        <w:trPr>
          <w:cantSplit/>
          <w:tblHeader/>
        </w:trPr>
        <w:tc>
          <w:tcPr>
            <w:tcW w:type="dxa" w:w="289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1C191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Deliverable or service</w:t>
            </w:r>
          </w:p>
        </w:tc>
        <w:tc>
          <w:tcPr>
            <w:tcW w:type="dxa" w:w="289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1C191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Service level or KPI</w:t>
            </w:r>
          </w:p>
        </w:tc>
        <w:tc>
          <w:tcPr>
            <w:tcW w:type="dxa" w:w="1927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1C191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Measurement</w:t>
            </w:r>
          </w:p>
        </w:tc>
        <w:tc>
          <w:tcPr>
            <w:tcW w:type="dxa" w:w="1929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1C191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Frequency</w:t>
            </w: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289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289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927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929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289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289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927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929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289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289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927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929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289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289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927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929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</w:tbl>
    <w:p>
      <w:pPr>
        <w:spacing w:after="60" w:before="0" w:line="276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73"/>
        <w:gridCol w:w="6265"/>
      </w:tblGrid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Reporting requirements (management, usage, sustainability or carbon reports; frequency and format)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</w:tbl>
    <w:p>
      <w:pPr>
        <w:spacing w:after="60" w:before="0" w:line="276"/>
      </w:pPr>
    </w:p>
    <w:p>
      <w:pPr>
        <w:keepNext/>
        <w:pBdr>
          <w:bottom w:val="single" w:color="A16207" w:sz="6" w:space="4"/>
        </w:pBdr>
        <w:spacing w:after="120" w:before="320"/>
      </w:pPr>
      <w:r>
        <w:rPr>
          <w:rFonts w:ascii="Georgia" w:cs="Georgia" w:eastAsia="Georgia" w:hAnsi="Georgia"/>
          <w:b/>
          <w:bCs/>
          <w:color w:val="1C1917"/>
          <w:sz w:val="28"/>
          <w:szCs w:val="28"/>
        </w:rPr>
        <w:t xml:space="preserve">6. Delivery, installation and training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73"/>
        <w:gridCol w:w="6265"/>
      </w:tblGrid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Delivery address and Incoterms 2020 rule (with named place)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Delivery schedule or call-off pattern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Installation, commissioning and first-use support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User training (who, how many, where)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Documentation (manuals, drawings, certificates, language)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</w:tbl>
    <w:p>
      <w:pPr>
        <w:spacing w:after="60" w:before="0" w:line="276"/>
      </w:pPr>
    </w:p>
    <w:p>
      <w:pPr>
        <w:keepNext/>
        <w:pBdr>
          <w:bottom w:val="single" w:color="A16207" w:sz="6" w:space="4"/>
        </w:pBdr>
        <w:spacing w:after="120" w:before="320"/>
      </w:pPr>
      <w:r>
        <w:rPr>
          <w:rFonts w:ascii="Georgia" w:cs="Georgia" w:eastAsia="Georgia" w:hAnsi="Georgia"/>
          <w:b/>
          <w:bCs/>
          <w:color w:val="1C1917"/>
          <w:sz w:val="28"/>
          <w:szCs w:val="28"/>
        </w:rPr>
        <w:t xml:space="preserve">7. Acceptance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73"/>
        <w:gridCol w:w="6265"/>
      </w:tblGrid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Factory acceptance test (FAT) or pre-shipment inspection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First-article inspection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Site acceptance test (SAT) and receiving inspection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Acceptance criteria and who signs acceptance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Treatment of non-conforming items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</w:tbl>
    <w:p>
      <w:pPr>
        <w:spacing w:after="60" w:before="0" w:line="276"/>
      </w:pPr>
    </w:p>
    <w:p>
      <w:pPr>
        <w:pBdr>
          <w:left w:val="single" w:color="A16207" w:sz="18" w:space="8"/>
        </w:pBdr>
        <w:shd w:fill="F0EDE6" w:color="auto" w:val="clear"/>
        <w:spacing w:after="160" w:before="120" w:line="276"/>
        <w:ind w:left="160" w:right="120"/>
      </w:pPr>
      <w:r>
        <w:rPr>
          <w:rFonts w:ascii="Arial" w:cs="Arial" w:eastAsia="Arial" w:hAnsi="Arial"/>
          <w:b/>
          <w:bCs/>
          <w:color w:val="854D0E"/>
          <w:sz w:val="18"/>
          <w:szCs w:val="18"/>
        </w:rPr>
        <w:t xml:space="preserve">Practitioner note.  </w:t>
      </w:r>
      <w:r>
        <w:rPr>
          <w:rFonts w:ascii="Arial" w:cs="Arial" w:eastAsia="Arial" w:hAnsi="Arial"/>
          <w:color w:val="1C1917"/>
          <w:sz w:val="18"/>
          <w:szCs w:val="18"/>
        </w:rPr>
        <w:t xml:space="preserve">For custom-made items that cannot be returned, put the critical checks before shipment, not after delivery. An inspection at the factory, against the signed specification, costs far less than a dispute over a unit that has already arrived and failed.</w:t>
      </w:r>
    </w:p>
    <w:p>
      <w:pPr>
        <w:keepNext/>
        <w:pBdr>
          <w:bottom w:val="single" w:color="A16207" w:sz="6" w:space="4"/>
        </w:pBdr>
        <w:spacing w:after="120" w:before="320"/>
      </w:pPr>
      <w:r>
        <w:rPr>
          <w:rFonts w:ascii="Georgia" w:cs="Georgia" w:eastAsia="Georgia" w:hAnsi="Georgia"/>
          <w:b/>
          <w:bCs/>
          <w:color w:val="1C1917"/>
          <w:sz w:val="28"/>
          <w:szCs w:val="28"/>
        </w:rPr>
        <w:t xml:space="preserve">8. Warranty, support and obsolescence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73"/>
        <w:gridCol w:w="6265"/>
      </w:tblGrid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Warranty period and what it covers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Spare parts availability (years)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Notice of end-of-life or obsolescence (months)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Support for later modifications and upgrades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Response and repair times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</w:tbl>
    <w:p>
      <w:pPr>
        <w:spacing w:after="60" w:before="0" w:line="276"/>
      </w:pPr>
    </w:p>
    <w:p>
      <w:pPr>
        <w:keepNext/>
        <w:pBdr>
          <w:bottom w:val="single" w:color="A16207" w:sz="6" w:space="4"/>
        </w:pBdr>
        <w:spacing w:after="120" w:before="320"/>
      </w:pPr>
      <w:r>
        <w:rPr>
          <w:rFonts w:ascii="Georgia" w:cs="Georgia" w:eastAsia="Georgia" w:hAnsi="Georgia"/>
          <w:b/>
          <w:bCs/>
          <w:color w:val="1C1917"/>
          <w:sz w:val="28"/>
          <w:szCs w:val="28"/>
        </w:rPr>
        <w:t xml:space="preserve">9. Supply resilience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73"/>
        <w:gridCol w:w="6265"/>
      </w:tblGrid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Where critical components and materials are made (sub-tier), as far as known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Logistics route and chokepoints; acceptable alternative routes (template 29)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Acceptable alternative materials, designs or sources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</w:trPr>
        <w:tc>
          <w:tcPr>
            <w:tcW w:type="dxa" w:w="337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Buffer stock or capacity reservation required from the supplier</w:t>
            </w:r>
          </w:p>
        </w:tc>
        <w:tc>
          <w:tcPr>
            <w:tcW w:type="dxa" w:w="626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</w:tbl>
    <w:p>
      <w:pPr>
        <w:spacing w:after="60" w:before="0" w:line="276"/>
      </w:pPr>
    </w:p>
    <w:p>
      <w:pPr>
        <w:keepNext/>
        <w:pBdr>
          <w:bottom w:val="single" w:color="A16207" w:sz="6" w:space="4"/>
        </w:pBdr>
        <w:spacing w:after="120" w:before="320"/>
      </w:pPr>
      <w:r>
        <w:rPr>
          <w:rFonts w:ascii="Georgia" w:cs="Georgia" w:eastAsia="Georgia" w:hAnsi="Georgia"/>
          <w:b/>
          <w:bCs/>
          <w:color w:val="1C1917"/>
          <w:sz w:val="28"/>
          <w:szCs w:val="28"/>
        </w:rPr>
        <w:t xml:space="preserve">10. Review before issue</w:t>
      </w:r>
    </w:p>
    <w:p>
      <w:pPr>
        <w:spacing w:after="40" w:before="20" w:line="276"/>
        <w:ind w:left="200"/>
      </w:pPr>
      <w:r>
        <w:rPr>
          <w:rFonts w:ascii="Arial" w:cs="Arial" w:eastAsia="Arial" w:hAnsi="Arial"/>
          <w:color w:val="1C1917"/>
          <w:sz w:val="20"/>
          <w:szCs w:val="20"/>
        </w:rPr>
        <w:t xml:space="preserve">☐  The users and technical owner have reviewed and agreed the requirements.</w:t>
      </w:r>
    </w:p>
    <w:p>
      <w:pPr>
        <w:spacing w:after="40" w:before="20" w:line="276"/>
        <w:ind w:left="200"/>
      </w:pPr>
      <w:r>
        <w:rPr>
          <w:rFonts w:ascii="Arial" w:cs="Arial" w:eastAsia="Arial" w:hAnsi="Arial"/>
          <w:color w:val="1C1917"/>
          <w:sz w:val="20"/>
          <w:szCs w:val="20"/>
        </w:rPr>
        <w:t xml:space="preserve">☐  No requirement unnecessarily favours one supplier or product.</w:t>
      </w:r>
    </w:p>
    <w:p>
      <w:pPr>
        <w:spacing w:after="40" w:before="20" w:line="276"/>
        <w:ind w:left="200"/>
      </w:pPr>
      <w:r>
        <w:rPr>
          <w:rFonts w:ascii="Arial" w:cs="Arial" w:eastAsia="Arial" w:hAnsi="Arial"/>
          <w:color w:val="1C1917"/>
          <w:sz w:val="20"/>
          <w:szCs w:val="20"/>
        </w:rPr>
        <w:t xml:space="preserve">☐  Every "must" is genuinely essential; every "should" will be scored.</w:t>
      </w:r>
    </w:p>
    <w:p>
      <w:pPr>
        <w:spacing w:after="40" w:before="20" w:line="276"/>
        <w:ind w:left="200"/>
      </w:pPr>
      <w:r>
        <w:rPr>
          <w:rFonts w:ascii="Arial" w:cs="Arial" w:eastAsia="Arial" w:hAnsi="Arial"/>
          <w:color w:val="1C1917"/>
          <w:sz w:val="20"/>
          <w:szCs w:val="20"/>
        </w:rPr>
        <w:t xml:space="preserve">☐  Acceptance tests are measurable and the responsible person is named.</w:t>
      </w:r>
    </w:p>
    <w:p>
      <w:pPr>
        <w:spacing w:after="40" w:before="20" w:line="276"/>
        <w:ind w:left="200"/>
      </w:pPr>
      <w:r>
        <w:rPr>
          <w:rFonts w:ascii="Arial" w:cs="Arial" w:eastAsia="Arial" w:hAnsi="Arial"/>
          <w:color w:val="1C1917"/>
          <w:sz w:val="20"/>
          <w:szCs w:val="20"/>
        </w:rPr>
        <w:t xml:space="preserve">☐  Known risks from earlier purchases of the same item have been reflected.</w:t>
      </w:r>
    </w:p>
    <w:p>
      <w:pPr>
        <w:spacing w:after="40" w:before="20" w:line="276"/>
        <w:ind w:left="200"/>
      </w:pPr>
      <w:r>
        <w:rPr>
          <w:rFonts w:ascii="Arial" w:cs="Arial" w:eastAsia="Arial" w:hAnsi="Arial"/>
          <w:color w:val="1C1917"/>
          <w:sz w:val="20"/>
          <w:szCs w:val="20"/>
        </w:rPr>
        <w:t xml:space="preserve">☐  The requirement does not tie the buyer to one region, route or sub-tier source without a stated reason.</w:t>
      </w:r>
    </w:p>
    <w:p>
      <w:pPr>
        <w:pBdr>
          <w:left w:val="single" w:color="A16207" w:sz="18" w:space="8"/>
        </w:pBdr>
        <w:shd w:fill="F0EDE6" w:color="auto" w:val="clear"/>
        <w:spacing w:after="160" w:before="120" w:line="276"/>
        <w:ind w:left="160" w:right="120"/>
      </w:pPr>
      <w:r>
        <w:rPr>
          <w:rFonts w:ascii="Arial" w:cs="Arial" w:eastAsia="Arial" w:hAnsi="Arial"/>
          <w:b/>
          <w:bCs/>
          <w:color w:val="854D0E"/>
          <w:sz w:val="18"/>
          <w:szCs w:val="18"/>
        </w:rPr>
        <w:t xml:space="preserve">Practitioner note.  </w:t>
      </w:r>
      <w:r>
        <w:rPr>
          <w:rFonts w:ascii="Arial" w:cs="Arial" w:eastAsia="Arial" w:hAnsi="Arial"/>
          <w:color w:val="1C1917"/>
          <w:sz w:val="18"/>
          <w:szCs w:val="18"/>
        </w:rPr>
        <w:t xml:space="preserve">When suppliers hesitate to commit to a requirement, treat it as information about the specification, not as reluctance. Where a design question cannot be settled on paper, a short engineering study or a prototype test, shared openly with bidders, often turns an uncertain requirement into one the market can price.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13"/>
        <w:gridCol w:w="2505"/>
        <w:gridCol w:w="2891"/>
        <w:gridCol w:w="1929"/>
      </w:tblGrid>
      <w:tr>
        <w:trPr>
          <w:cantSplit/>
          <w:tblHeader/>
        </w:trPr>
        <w:tc>
          <w:tcPr>
            <w:tcW w:type="dxa" w:w="231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1C191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Role</w:t>
            </w:r>
          </w:p>
        </w:tc>
        <w:tc>
          <w:tcPr>
            <w:tcW w:type="dxa" w:w="250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1C191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Name</w:t>
            </w:r>
          </w:p>
        </w:tc>
        <w:tc>
          <w:tcPr>
            <w:tcW w:type="dxa" w:w="289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1C191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Signature</w:t>
            </w:r>
          </w:p>
        </w:tc>
        <w:tc>
          <w:tcPr>
            <w:tcW w:type="dxa" w:w="1929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1C191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Date</w:t>
            </w:r>
          </w:p>
        </w:tc>
      </w:tr>
      <w:tr>
        <w:trPr>
          <w:cantSplit/>
          <w:tblHeader w:val="false"/>
          <w:trHeight w:val="520" w:hRule="atLeast"/>
        </w:trPr>
        <w:tc>
          <w:tcPr>
            <w:tcW w:type="dxa" w:w="231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Requester</w:t>
            </w:r>
          </w:p>
        </w:tc>
        <w:tc>
          <w:tcPr>
            <w:tcW w:type="dxa" w:w="250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289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929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  <w:trHeight w:val="520" w:hRule="atLeast"/>
        </w:trPr>
        <w:tc>
          <w:tcPr>
            <w:tcW w:type="dxa" w:w="231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Technical owner</w:t>
            </w:r>
          </w:p>
        </w:tc>
        <w:tc>
          <w:tcPr>
            <w:tcW w:type="dxa" w:w="250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289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929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  <w:tblHeader w:val="false"/>
          <w:trHeight w:val="520" w:hRule="atLeast"/>
        </w:trPr>
        <w:tc>
          <w:tcPr>
            <w:tcW w:type="dxa" w:w="2313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shd w:fill="F0EDE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C1917"/>
                <w:sz w:val="18"/>
                <w:szCs w:val="18"/>
              </w:rPr>
              <w:t xml:space="preserve">Procurement</w:t>
            </w:r>
          </w:p>
        </w:tc>
        <w:tc>
          <w:tcPr>
            <w:tcW w:type="dxa" w:w="2505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2891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1929"/>
            <w:tcBorders>
              <w:top w:val="single" w:color="D6D3CE" w:sz="4"/>
              <w:left w:val="single" w:color="D6D3CE" w:sz="4"/>
              <w:bottom w:val="single" w:color="D6D3CE" w:sz="4"/>
              <w:right w:val="single" w:color="D6D3CE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76"/>
            </w:pPr>
          </w:p>
        </w:tc>
      </w:tr>
    </w:tbl>
    <w:p>
      <w:pPr>
        <w:spacing w:after="60" w:before="0" w:line="276"/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0" w:footer="5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D3CE" w:sz="4" w:space="4"/>
      </w:pBdr>
    </w:pPr>
    <w:r>
      <w:rPr>
        <w:rFonts w:ascii="Arial" w:cs="Arial" w:eastAsia="Arial" w:hAnsi="Arial"/>
        <w:color w:val="57534E"/>
        <w:sz w:val="15"/>
        <w:szCs w:val="15"/>
      </w:rPr>
      <w:t xml:space="preserve">NSM Sourcing  ·  nsmsourcing.com  ·  </w:t>
    </w:r>
    <w:r>
      <w:rPr>
        <w:rFonts w:ascii="Arial" w:cs="Arial" w:eastAsia="Arial" w:hAnsi="Arial"/>
        <w:color w:val="57534E"/>
        <w:sz w:val="15"/>
        <w:szCs w:val="15"/>
      </w:rPr>
      <w:t xml:space="preserve">CC BY 4.0: free to use and adapt with credit to NSM Sourcing. General guidance, not legal advice.</w:t>
    </w:r>
  </w:p>
  <w:p>
    <w:pPr>
      <w:jc w:val="right"/>
    </w:pPr>
    <w:r>
      <w:rPr>
        <w:rFonts w:ascii="Arial" w:cs="Arial" w:eastAsia="Arial" w:hAnsi="Arial"/>
        <w:color w:val="57534E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57534E"/>
        <w:sz w:val="15"/>
        <w:szCs w:val="15"/>
      </w:rPr>
      <w:t xml:space="preserve">NSM-02  Specification and Statement of Work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Specification and Statement of Work</dc:title>
  <dc:creator>NSM Sourcing</dc:creator>
  <dc:description>Defines what is to be supplied, the standard it must meet and how acceptance will be judged.</dc:description>
  <cp:lastModifiedBy>Un-named</cp:lastModifiedBy>
  <cp:revision>1</cp:revision>
  <dcterms:created xsi:type="dcterms:W3CDTF">2026-10-12T12:02:48.173Z</dcterms:created>
  <dcterms:modified xsi:type="dcterms:W3CDTF">2026-10-12T12:02:48.173Z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