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NSM-00</w:t>
      </w:r>
    </w:p>
    <w:p>
      <w:pPr>
        <w:spacing w:after="80"/>
      </w:pPr>
      <w:r>
        <w:rPr>
          <w:rFonts w:ascii="Georgia" w:cs="Georgia" w:eastAsia="Georgia" w:hAnsi="Georgia"/>
          <w:b/>
          <w:bCs/>
          <w:color w:val="1C1917"/>
          <w:sz w:val="44"/>
          <w:szCs w:val="44"/>
        </w:rPr>
        <w:t xml:space="preserve">Procurement Template Library Guide</w:t>
      </w:r>
    </w:p>
    <w:p>
      <w:pPr>
        <w:spacing w:after="160" w:before="60" w:line="276"/>
      </w:pPr>
      <w:r>
        <w:rPr>
          <w:rFonts w:ascii="Arial" w:cs="Arial" w:eastAsia="Arial" w:hAnsi="Arial"/>
          <w:color w:val="57534E"/>
          <w:sz w:val="22"/>
          <w:szCs w:val="22"/>
        </w:rPr>
        <w:t xml:space="preserve">Thirty-five practical templates arranged along the procurement and supply cycle, from business need to contract close-out, updated for AI, geopolitical risk and new trade and sustainability rules (October 2026).</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All stages</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Start with the map in section 2 and pick the templates that match the value, risk and complexity of your requirement. A low-value, low-risk purchase may need only templates 01, 11, 21 and 22.</w:t>
      </w:r>
    </w:p>
    <w:p>
      <w:pPr>
        <w:pStyle w:val="ListParagraph"/>
        <w:numPr>
          <w:ilvl w:val="0"/>
          <w:numId w:val="2"/>
        </w:numPr>
        <w:spacing w:after="30" w:before="10" w:line="276"/>
      </w:pPr>
      <w:r>
        <w:rPr>
          <w:rFonts w:ascii="Arial" w:cs="Arial" w:eastAsia="Arial" w:hAnsi="Arial"/>
          <w:color w:val="57534E"/>
          <w:sz w:val="19"/>
          <w:szCs w:val="19"/>
        </w:rPr>
        <w:t xml:space="preserve">Text in [square brackets] is to be replaced. Grey italic text is guidance for the author and should be deleted before a document is issued to suppliers.</w:t>
      </w:r>
    </w:p>
    <w:p>
      <w:pPr>
        <w:pStyle w:val="ListParagraph"/>
        <w:numPr>
          <w:ilvl w:val="0"/>
          <w:numId w:val="2"/>
        </w:numPr>
        <w:spacing w:after="30" w:before="10" w:line="276"/>
      </w:pPr>
      <w:r>
        <w:rPr>
          <w:rFonts w:ascii="Arial" w:cs="Arial" w:eastAsia="Arial" w:hAnsi="Arial"/>
          <w:color w:val="57534E"/>
          <w:sz w:val="19"/>
          <w:szCs w:val="19"/>
        </w:rPr>
        <w:t xml:space="preserve">In the Excel templates, cells with a light yellow fill are inputs. All other figures are calculated. Each workbook opens with a "Read me" sheet.</w:t>
      </w:r>
    </w:p>
    <w:p>
      <w:pPr>
        <w:pStyle w:val="ListParagraph"/>
        <w:numPr>
          <w:ilvl w:val="0"/>
          <w:numId w:val="2"/>
        </w:numPr>
        <w:spacing w:after="30" w:before="10" w:line="276"/>
      </w:pPr>
      <w:r>
        <w:rPr>
          <w:rFonts w:ascii="Arial" w:cs="Arial" w:eastAsia="Arial" w:hAnsi="Arial"/>
          <w:color w:val="57534E"/>
          <w:sz w:val="19"/>
          <w:szCs w:val="19"/>
        </w:rPr>
        <w:t xml:space="preserve">Adapt every template to your own delegated authority limits, policies and applicable law. Public bodies must follow their own procurement regulations.</w:t>
      </w:r>
    </w:p>
    <w:p>
      <w:pPr>
        <w:keepNext/>
        <w:pBdr>
          <w:bottom w:val="single" w:color="A16207" w:sz="6" w:space="4"/>
        </w:pBdr>
        <w:spacing w:after="120" w:before="320"/>
      </w:pPr>
      <w:r>
        <w:rPr>
          <w:rFonts w:ascii="Georgia" w:cs="Georgia" w:eastAsia="Georgia" w:hAnsi="Georgia"/>
          <w:b/>
          <w:bCs/>
          <w:color w:val="1C1917"/>
          <w:sz w:val="28"/>
          <w:szCs w:val="28"/>
        </w:rPr>
        <w:t xml:space="preserve">1. What this library is for</w:t>
      </w:r>
    </w:p>
    <w:p>
      <w:pPr>
        <w:spacing w:after="100" w:before="60" w:line="276"/>
      </w:pPr>
      <w:r>
        <w:rPr>
          <w:rFonts w:ascii="Arial" w:cs="Arial" w:eastAsia="Arial" w:hAnsi="Arial"/>
          <w:color w:val="1C1917"/>
          <w:sz w:val="20"/>
          <w:szCs w:val="20"/>
        </w:rPr>
        <w:t xml:space="preserve">Most free procurement templates are either single forms (a purchase order, a request for quotation) or long public-sector bidding documents written for a specific funder. Neither helps a buyer in a mid-sized private organisation run a sourcing project from start to finish. This library fills that gap. Each template is short, uses the vocabulary of the profession and carries practitioner notes drawn from in-house procurement work in energy, defence and pharmaceuticals.</w:t>
      </w:r>
    </w:p>
    <w:p>
      <w:pPr>
        <w:spacing w:after="100" w:before="60" w:line="276"/>
      </w:pPr>
      <w:r>
        <w:rPr>
          <w:rFonts w:ascii="Arial" w:cs="Arial" w:eastAsia="Arial" w:hAnsi="Arial"/>
          <w:color w:val="1C1917"/>
          <w:sz w:val="20"/>
          <w:szCs w:val="20"/>
        </w:rPr>
        <w:t xml:space="preserve">The library follows the structure of the CIPS Procurement and Supply Cycle and uses terminology consistent with the CIPS Global Standard for Procurement and Supply (2025 edition) and the CIPS Code of Conduct. It is an independent work by NSM Sourcing and is not endorsed by CIPS.</w:t>
      </w:r>
    </w:p>
    <w:p>
      <w:pPr>
        <w:keepNext/>
        <w:pBdr>
          <w:bottom w:val="single" w:color="A16207" w:sz="6" w:space="4"/>
        </w:pBdr>
        <w:spacing w:after="120" w:before="320"/>
      </w:pPr>
      <w:r>
        <w:rPr>
          <w:rFonts w:ascii="Georgia" w:cs="Georgia" w:eastAsia="Georgia" w:hAnsi="Georgia"/>
          <w:b/>
          <w:bCs/>
          <w:color w:val="1C1917"/>
          <w:sz w:val="28"/>
          <w:szCs w:val="28"/>
        </w:rPr>
        <w:t xml:space="preserve">2. Template 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7"/>
        <w:gridCol w:w="3276"/>
        <w:gridCol w:w="867"/>
        <w:gridCol w:w="2120"/>
        <w:gridCol w:w="2508"/>
      </w:tblGrid>
      <w:tr>
        <w:trPr>
          <w:cantSplit/>
          <w:tblHeader/>
        </w:trPr>
        <w:tc>
          <w:tcPr>
            <w:tcW w:type="dxa" w:w="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No.</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Template</w:t>
            </w:r>
          </w:p>
        </w:tc>
        <w:tc>
          <w:tcPr>
            <w:tcW w:type="dxa" w:w="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Format</w:t>
            </w:r>
          </w:p>
        </w:tc>
        <w:tc>
          <w:tcPr>
            <w:tcW w:type="dxa" w:w="212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Cycle stage</w:t>
            </w:r>
          </w:p>
        </w:tc>
        <w:tc>
          <w:tcPr>
            <w:tcW w:type="dxa" w:w="250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Typical owner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01</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Purchase Requisition</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Specification</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Requester, budget holder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02</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Specification and Statement of Work</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Specification</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Requester with 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03</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Stakeholder Map and RACI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Specification, Strategy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lead</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04</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Pre-Tender Estimate and Should-Cost Model</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Analysis</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cost engineering</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Supply Risk Register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Analysis, Management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lead</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06</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Strategy</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Strategy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lead</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07</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Plan Register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Strategy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manager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08</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Request for Information (RFI)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Market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09</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Supplier Pre-Qualification Questionnaire</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Criteria</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quality</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Supplier Site Audit Checklist</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Criteria</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Quality with 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11</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Request for Quotation (RFQ)</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Tender</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12</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Invitation to Tender (ITT / RFP)</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Documentation, Tender</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13</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Price Schedule and Commercial Response</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Tender</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Issued to bidders</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14</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 Panel Declaration</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Each evaluator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Bid Evaluation Matrix</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 panel</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16</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Landed Cost and TCO Calculator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17</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Negotiation Plan</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 Contract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Negotiation lead</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18</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Single Source Justification</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Strategy, Contract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Requester with 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19</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 Report and Award Recommendation</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lead</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20</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Award, Regret and Suspension Letters</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Delivery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21</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Purchase Order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Delivery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22</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Goods Receipt and Inspection Report</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Delivery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Stores, quality</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23</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Supplier Performance Scorecard</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Performance</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manager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24</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Non-Conformance and Corrective Action Request</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Performance</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Quality with 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25</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and Order Register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Management, Asset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manager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AI Use-Case and Governance Register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All stages</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leadership</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27</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AI Tool Procurement: Supplier Questionnaire and Contract Checklist</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Criteria, Contract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with IT and legal</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28</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Supplier Cyber Security Questionnaire</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Criteria, Performance</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with IT security</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29</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Geopolitical and Route Exposure Assessment</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Analysis, Management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Category manager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30</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Trade Compliance Check</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Market, Contract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with customs</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31</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Supply Continuity Plan</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Strategy, Management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Category manager</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32</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Energy and Freight Price Adjustment Calculator</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Performance</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33</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CBAM Embedded Emissions Data Request</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Market, Delivery</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sustainability</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34</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Forced Labour and Human Rights Due Diligence Questionnaire</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Criteria, Management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sustainability</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35</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Compliance and Value Leakage Check</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Performance, Management</w:t>
            </w:r>
          </w:p>
        </w:tc>
        <w:tc>
          <w:tcPr>
            <w:tcW w:type="dxa" w:w="250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Procurement, finance</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Choosing the right route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5"/>
        <w:gridCol w:w="3566"/>
        <w:gridCol w:w="3567"/>
      </w:tblGrid>
      <w:tr>
        <w:trPr>
          <w:cantSplit/>
          <w:tblHeader/>
        </w:trPr>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Situation</w:t>
            </w:r>
          </w:p>
        </w:tc>
        <w:tc>
          <w:tcPr>
            <w:tcW w:type="dxa" w:w="356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Recommended templates</w:t>
            </w:r>
          </w:p>
        </w:tc>
        <w:tc>
          <w:tcPr>
            <w:tcW w:type="dxa" w:w="35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Why</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Low value, standard item, several suppliers</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01, 11, 13, 21, 22</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Three comparable quotations and a clear order are usually enough. Keep the record simple.</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Significant spend, competitive market</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01 to 07, 12 to 16, 19 to 23</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 documented strategy, a pre-tender estimate and evaluation criteria fixed before bids arrive protect value and fairness.</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Unfamiliar or concentrated supply market</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05, 06, 08, 09, 10</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Market engagement and supplier appraisal come first. The RFI and site audits widen the field before tendering.</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Imported goods</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13, 16, 21, 22</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Compare suppliers on landed cost, not on ex-works price, and agree Incoterms 2020 rules with a named place.</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Only one capable supplier</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04, 17, 18</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Justify the single source in writing, then use the should-cost model and a negotiation plan instead of competition.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Live contract with performance issues</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23, 24, 25, 35</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Measure against agreed KPIs, raise non-conformances formally, use the remedies in the contract and recover value lost after signature.</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Supply through unstable regions or routes</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05, 29, 31, 32</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Score the exposure, test scenarios, close the gap between time to survive and time to recover, and agree an index formula instead of ad hoc surcharges.</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Buying AI or software that touches your data</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26, 27, 28</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Decide where AI is used and who checks it, then put data use, security and model changes into the contract.</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Goods in CBAM sectors, or high-risk inputs</w:t>
            </w:r>
          </w:p>
        </w:tc>
        <w:tc>
          <w:tcPr>
            <w:tcW w:type="dxa" w:w="356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30, 33, 34</w:t>
            </w:r>
          </w:p>
        </w:tc>
        <w:tc>
          <w:tcPr>
            <w:tcW w:type="dxa" w:w="35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Collect verified emissions data and evidence of due diligence before award, not at the border.</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Principles built into every template</w:t>
      </w:r>
    </w:p>
    <w:p>
      <w:pPr>
        <w:pStyle w:val="ListParagraph"/>
        <w:numPr>
          <w:ilvl w:val="0"/>
          <w:numId w:val="2"/>
        </w:numPr>
        <w:spacing w:after="40" w:before="20" w:line="276"/>
      </w:pPr>
      <w:r>
        <w:rPr>
          <w:rFonts w:ascii="Arial" w:cs="Arial" w:eastAsia="Arial" w:hAnsi="Arial"/>
          <w:b/>
          <w:bCs/>
          <w:color w:val="1C1917"/>
          <w:sz w:val="20"/>
          <w:szCs w:val="20"/>
        </w:rPr>
        <w:t xml:space="preserve">Need before solution.</w:t>
      </w:r>
      <w:r>
        <w:rPr>
          <w:rFonts w:ascii="Arial" w:cs="Arial" w:eastAsia="Arial" w:hAnsi="Arial"/>
          <w:color w:val="1C1917"/>
          <w:sz w:val="20"/>
          <w:szCs w:val="20"/>
        </w:rPr>
        <w:t xml:space="preserve"> Separate what the business needs from what it has always bought, and state requirements as outcomes where the market knows more than the buyer.</w:t>
      </w:r>
    </w:p>
    <w:p>
      <w:pPr>
        <w:pStyle w:val="ListParagraph"/>
        <w:numPr>
          <w:ilvl w:val="0"/>
          <w:numId w:val="2"/>
        </w:numPr>
        <w:spacing w:after="40" w:before="20" w:line="276"/>
      </w:pPr>
      <w:r>
        <w:rPr>
          <w:rFonts w:ascii="Arial" w:cs="Arial" w:eastAsia="Arial" w:hAnsi="Arial"/>
          <w:b/>
          <w:bCs/>
          <w:color w:val="1C1917"/>
          <w:sz w:val="20"/>
          <w:szCs w:val="20"/>
        </w:rPr>
        <w:t xml:space="preserve">Estimate before tender.</w:t>
      </w:r>
      <w:r>
        <w:rPr>
          <w:rFonts w:ascii="Arial" w:cs="Arial" w:eastAsia="Arial" w:hAnsi="Arial"/>
          <w:color w:val="1C1917"/>
          <w:sz w:val="20"/>
          <w:szCs w:val="20"/>
        </w:rPr>
        <w:t xml:space="preserve"> An independent pre-tender estimate lets you judge bids against the cost of the work, not only against each other.</w:t>
      </w:r>
    </w:p>
    <w:p>
      <w:pPr>
        <w:pStyle w:val="ListParagraph"/>
        <w:numPr>
          <w:ilvl w:val="0"/>
          <w:numId w:val="2"/>
        </w:numPr>
        <w:spacing w:after="40" w:before="20" w:line="276"/>
      </w:pPr>
      <w:r>
        <w:rPr>
          <w:rFonts w:ascii="Arial" w:cs="Arial" w:eastAsia="Arial" w:hAnsi="Arial"/>
          <w:b/>
          <w:bCs/>
          <w:color w:val="1C1917"/>
          <w:sz w:val="20"/>
          <w:szCs w:val="20"/>
        </w:rPr>
        <w:t xml:space="preserve">Criteria before bids.</w:t>
      </w:r>
      <w:r>
        <w:rPr>
          <w:rFonts w:ascii="Arial" w:cs="Arial" w:eastAsia="Arial" w:hAnsi="Arial"/>
          <w:color w:val="1C1917"/>
          <w:sz w:val="20"/>
          <w:szCs w:val="20"/>
        </w:rPr>
        <w:t xml:space="preserve"> Evaluation criteria, weightings and walk-away positions are agreed and recorded before any bid is opened.</w:t>
      </w:r>
    </w:p>
    <w:p>
      <w:pPr>
        <w:pStyle w:val="ListParagraph"/>
        <w:numPr>
          <w:ilvl w:val="0"/>
          <w:numId w:val="2"/>
        </w:numPr>
        <w:spacing w:after="40" w:before="20" w:line="276"/>
      </w:pPr>
      <w:r>
        <w:rPr>
          <w:rFonts w:ascii="Arial" w:cs="Arial" w:eastAsia="Arial" w:hAnsi="Arial"/>
          <w:b/>
          <w:bCs/>
          <w:color w:val="1C1917"/>
          <w:sz w:val="20"/>
          <w:szCs w:val="20"/>
        </w:rPr>
        <w:t xml:space="preserve">Value over price.</w:t>
      </w:r>
      <w:r>
        <w:rPr>
          <w:rFonts w:ascii="Arial" w:cs="Arial" w:eastAsia="Arial" w:hAnsi="Arial"/>
          <w:color w:val="1C1917"/>
          <w:sz w:val="20"/>
          <w:szCs w:val="20"/>
        </w:rPr>
        <w:t xml:space="preserve"> Award decisions consider quality, risk, delivery, total cost of ownership and ESG, not unit price alone.</w:t>
      </w:r>
    </w:p>
    <w:p>
      <w:pPr>
        <w:pStyle w:val="ListParagraph"/>
        <w:numPr>
          <w:ilvl w:val="0"/>
          <w:numId w:val="2"/>
        </w:numPr>
        <w:spacing w:after="40" w:before="20" w:line="276"/>
      </w:pPr>
      <w:r>
        <w:rPr>
          <w:rFonts w:ascii="Arial" w:cs="Arial" w:eastAsia="Arial" w:hAnsi="Arial"/>
          <w:b/>
          <w:bCs/>
          <w:color w:val="1C1917"/>
          <w:sz w:val="20"/>
          <w:szCs w:val="20"/>
        </w:rPr>
        <w:t xml:space="preserve">Fair and transparent competition.</w:t>
      </w:r>
      <w:r>
        <w:rPr>
          <w:rFonts w:ascii="Arial" w:cs="Arial" w:eastAsia="Arial" w:hAnsi="Arial"/>
          <w:color w:val="1C1917"/>
          <w:sz w:val="20"/>
          <w:szCs w:val="20"/>
        </w:rPr>
        <w:t xml:space="preserve"> Every bidder receives the same information at the same time, and interests are declared.</w:t>
      </w:r>
    </w:p>
    <w:p>
      <w:pPr>
        <w:pStyle w:val="ListParagraph"/>
        <w:numPr>
          <w:ilvl w:val="0"/>
          <w:numId w:val="2"/>
        </w:numPr>
        <w:spacing w:after="40" w:before="20" w:line="276"/>
      </w:pPr>
      <w:r>
        <w:rPr>
          <w:rFonts w:ascii="Arial" w:cs="Arial" w:eastAsia="Arial" w:hAnsi="Arial"/>
          <w:b/>
          <w:bCs/>
          <w:color w:val="1C1917"/>
          <w:sz w:val="20"/>
          <w:szCs w:val="20"/>
        </w:rPr>
        <w:t xml:space="preserve">Record the reasoning.</w:t>
      </w:r>
      <w:r>
        <w:rPr>
          <w:rFonts w:ascii="Arial" w:cs="Arial" w:eastAsia="Arial" w:hAnsi="Arial"/>
          <w:color w:val="1C1917"/>
          <w:sz w:val="20"/>
          <w:szCs w:val="20"/>
        </w:rPr>
        <w:t xml:space="preserve"> Decisions are documented well enough to stand up to internal and external audit.</w:t>
      </w:r>
    </w:p>
    <w:p>
      <w:pPr>
        <w:pStyle w:val="ListParagraph"/>
        <w:numPr>
          <w:ilvl w:val="0"/>
          <w:numId w:val="2"/>
        </w:numPr>
        <w:spacing w:after="40" w:before="20" w:line="276"/>
      </w:pPr>
      <w:r>
        <w:rPr>
          <w:rFonts w:ascii="Arial" w:cs="Arial" w:eastAsia="Arial" w:hAnsi="Arial"/>
          <w:b/>
          <w:bCs/>
          <w:color w:val="1C1917"/>
          <w:sz w:val="20"/>
          <w:szCs w:val="20"/>
        </w:rPr>
        <w:t xml:space="preserve">Resilience alongside cost.</w:t>
      </w:r>
      <w:r>
        <w:rPr>
          <w:rFonts w:ascii="Arial" w:cs="Arial" w:eastAsia="Arial" w:hAnsi="Arial"/>
          <w:color w:val="1C1917"/>
          <w:sz w:val="20"/>
          <w:szCs w:val="20"/>
        </w:rPr>
        <w:t xml:space="preserve"> Supply continuity, route exposure and second sources are weighed together with price.</w:t>
      </w:r>
    </w:p>
    <w:p>
      <w:pPr>
        <w:pStyle w:val="ListParagraph"/>
        <w:numPr>
          <w:ilvl w:val="0"/>
          <w:numId w:val="2"/>
        </w:numPr>
        <w:spacing w:after="40" w:before="20" w:line="276"/>
      </w:pPr>
      <w:r>
        <w:rPr>
          <w:rFonts w:ascii="Arial" w:cs="Arial" w:eastAsia="Arial" w:hAnsi="Arial"/>
          <w:b/>
          <w:bCs/>
          <w:color w:val="1C1917"/>
          <w:sz w:val="20"/>
          <w:szCs w:val="20"/>
        </w:rPr>
        <w:t xml:space="preserve">AI supports, people decide.</w:t>
      </w:r>
      <w:r>
        <w:rPr>
          <w:rFonts w:ascii="Arial" w:cs="Arial" w:eastAsia="Arial" w:hAnsi="Arial"/>
          <w:color w:val="1C1917"/>
          <w:sz w:val="20"/>
          <w:szCs w:val="20"/>
        </w:rPr>
        <w:t xml:space="preserve"> AI may draft, analyse and check; award decisions, exclusions and negotiation positions stay with named people.</w:t>
      </w:r>
    </w:p>
    <w:p>
      <w:pPr>
        <w:keepNext/>
        <w:pBdr>
          <w:bottom w:val="single" w:color="A16207" w:sz="6" w:space="4"/>
        </w:pBdr>
        <w:spacing w:after="120" w:before="320"/>
      </w:pPr>
      <w:r>
        <w:rPr>
          <w:rFonts w:ascii="Georgia" w:cs="Georgia" w:eastAsia="Georgia" w:hAnsi="Georgia"/>
          <w:b/>
          <w:bCs/>
          <w:color w:val="1C1917"/>
          <w:sz w:val="28"/>
          <w:szCs w:val="28"/>
        </w:rPr>
        <w:t xml:space="preserve">5. What changed in 2025 and 2026, and how the library responds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69"/>
        <w:gridCol w:w="3855"/>
        <w:gridCol w:w="2314"/>
      </w:tblGrid>
      <w:tr>
        <w:trPr>
          <w:cantSplit/>
          <w:tblHeader/>
        </w:trPr>
        <w:tc>
          <w:tcPr>
            <w:tcW w:type="dxa" w:w="346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Development (as of October 2026)</w:t>
            </w:r>
          </w:p>
        </w:tc>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What it means for buyers</w:t>
            </w:r>
          </w:p>
        </w:tc>
        <w:tc>
          <w:tcPr>
            <w:tcW w:type="dxa" w:w="231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Templates</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Supply continuity overtook cost reduction as the top procurement objective; trade wars rank as the second largest risk (Hackett Group, 2026).</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Resilience must be planned and measured, not assumed.</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05, 06, 29, 31</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71% of procurement organisations have adopted generative AI in pilot or at scale and 56% have deployed agentic AI, but only 12 to 13% have reached large-scale use (Hackett Group, 2026).</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Governance, data quality and human checkpoints decide whether AI creates value.</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26, 27</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Strait of Hormuz effectively closed as of August 2026; Brent at USD 105.72 on 9 October 2026; gradual return of container lines to Suez from July 2026.</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Energy and freight surcharges, longer and less certain transit.</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16, 29, 32</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US IEEPA tariffs struck down on 20 February 2026; the Section 122 surcharge expired on 24 July 2026; Section 232 and 301 tariffs remain.</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Origin, tariff code and allocation of new duties belong in sourcing decisions and contracts.</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13, 17, 30</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EU CBAM definitive period since 1 January 2026; first declaration for 2026 imports due 30 September 2027.</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Embedded emissions become part of landed cost for steel, aluminium, cement, fertilisers and hydrogen.</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16, 30, 33</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EU Forced Labour Regulation applies from 14 December 2027; CSDDD narrowed and postponed to 2029.</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Proportionate, documented due diligence on suppliers and high-risk inputs.</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09, 30, 34</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EU AI Act transparency duties from 2 August 2026; stand-alone high-risk duties postponed to 2 December 2027.</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Screen AI use cases and contract for transparency and control.</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26, 27</w:t>
            </w:r>
          </w:p>
        </w:tc>
      </w:tr>
    </w:tbl>
    <w:p>
      <w:pPr>
        <w:spacing w:after="60" w:before="0" w:line="276"/>
      </w:pPr>
    </w:p>
    <w:p>
      <w:pPr>
        <w:spacing w:after="100" w:before="60" w:line="276"/>
      </w:pPr>
      <w:r>
        <w:rPr>
          <w:rFonts w:ascii="Arial" w:cs="Arial" w:eastAsia="Arial" w:hAnsi="Arial"/>
          <w:color w:val="1C1917"/>
          <w:sz w:val="20"/>
          <w:szCs w:val="20"/>
        </w:rPr>
        <w:t xml:space="preserve">These facts change. Re-check them before relying on them; the sources are listed in section 7.</w:t>
      </w:r>
    </w:p>
    <w:p>
      <w:pPr>
        <w:keepNext/>
        <w:pBdr>
          <w:bottom w:val="single" w:color="A16207" w:sz="6" w:space="4"/>
        </w:pBdr>
        <w:spacing w:after="120" w:before="320"/>
      </w:pPr>
      <w:r>
        <w:rPr>
          <w:rFonts w:ascii="Georgia" w:cs="Georgia" w:eastAsia="Georgia" w:hAnsi="Georgia"/>
          <w:b/>
          <w:bCs/>
          <w:color w:val="1C1917"/>
          <w:sz w:val="28"/>
          <w:szCs w:val="28"/>
        </w:rPr>
        <w:t xml:space="preserve">6. How the library was built</w:t>
      </w:r>
    </w:p>
    <w:p>
      <w:pPr>
        <w:spacing w:after="100" w:before="60" w:line="276"/>
      </w:pPr>
      <w:r>
        <w:rPr>
          <w:rFonts w:ascii="Arial" w:cs="Arial" w:eastAsia="Arial" w:hAnsi="Arial"/>
          <w:color w:val="1C1917"/>
          <w:sz w:val="20"/>
          <w:szCs w:val="20"/>
        </w:rPr>
        <w:t xml:space="preserve">The library was shaped by a review of widely used free procurement forms and the World Bank standard procurement documents, and by the list of US defence acquisition templates published by AcqNotes. A few ideas were adapted from these sources, such as a separate tender data sheet and a beneficial ownership declaration. No text has been copied; all content has been written afresh for private-sector buyers and checked against the sources for overlap.</w:t>
      </w:r>
    </w:p>
    <w:p>
      <w:pPr>
        <w:spacing w:after="100" w:before="60" w:line="276"/>
      </w:pPr>
      <w:r>
        <w:rPr>
          <w:rFonts w:ascii="Arial" w:cs="Arial" w:eastAsia="Arial" w:hAnsi="Arial"/>
          <w:b/>
          <w:bCs/>
          <w:color w:val="1C1917"/>
          <w:sz w:val="20"/>
          <w:szCs w:val="20"/>
        </w:rPr>
        <w:t xml:space="preserve">Licence.</w:t>
      </w:r>
      <w:r>
        <w:rPr>
          <w:rFonts w:ascii="Arial" w:cs="Arial" w:eastAsia="Arial" w:hAnsi="Arial"/>
          <w:color w:val="1C1917"/>
          <w:sz w:val="20"/>
          <w:szCs w:val="20"/>
        </w:rPr>
        <w:t xml:space="preserve"> The templates are published under the Creative Commons Attribution 4.0 International licence (CC BY 4.0). You may copy, adapt and use them, including for commercial purposes, provided you credit NSM Sourcing (nsmsourcing.com) as the source: creativecommons.org/licenses/by/4.0</w:t>
      </w:r>
    </w:p>
    <w:p>
      <w:pPr>
        <w:keepNext/>
        <w:pBdr>
          <w:bottom w:val="single" w:color="A16207" w:sz="6" w:space="4"/>
        </w:pBdr>
        <w:spacing w:after="120" w:before="320"/>
      </w:pPr>
      <w:r>
        <w:rPr>
          <w:rFonts w:ascii="Georgia" w:cs="Georgia" w:eastAsia="Georgia" w:hAnsi="Georgia"/>
          <w:b/>
          <w:bCs/>
          <w:color w:val="1C1917"/>
          <w:sz w:val="28"/>
          <w:szCs w:val="28"/>
        </w:rPr>
        <w:t xml:space="preserve">7. Sources</w:t>
      </w:r>
    </w:p>
    <w:p>
      <w:pPr>
        <w:pStyle w:val="ListParagraph"/>
        <w:numPr>
          <w:ilvl w:val="0"/>
          <w:numId w:val="2"/>
        </w:numPr>
        <w:spacing w:after="40" w:before="20" w:line="276"/>
      </w:pPr>
      <w:r>
        <w:rPr>
          <w:rFonts w:ascii="Arial" w:cs="Arial" w:eastAsia="Arial" w:hAnsi="Arial"/>
          <w:color w:val="1C1917"/>
          <w:sz w:val="20"/>
          <w:szCs w:val="20"/>
        </w:rPr>
        <w:t xml:space="preserve">The Hackett Group, 2026 Procurement Agenda and Key Issues, summary by Ironclad: ironcladapp.com/resources/articles/cpo-agenda-key-takeaways</w:t>
      </w:r>
    </w:p>
    <w:p>
      <w:pPr>
        <w:pStyle w:val="ListParagraph"/>
        <w:numPr>
          <w:ilvl w:val="0"/>
          <w:numId w:val="2"/>
        </w:numPr>
        <w:spacing w:after="40" w:before="20" w:line="276"/>
      </w:pPr>
      <w:r>
        <w:rPr>
          <w:rFonts w:ascii="Arial" w:cs="Arial" w:eastAsia="Arial" w:hAnsi="Arial"/>
          <w:color w:val="1C1917"/>
          <w:sz w:val="20"/>
          <w:szCs w:val="20"/>
        </w:rPr>
        <w:t xml:space="preserve">BCG, From AI assistance to agentic orchestration in procurement (July 2026): bcg.com</w:t>
      </w:r>
    </w:p>
    <w:p>
      <w:pPr>
        <w:pStyle w:val="ListParagraph"/>
        <w:numPr>
          <w:ilvl w:val="0"/>
          <w:numId w:val="2"/>
        </w:numPr>
        <w:spacing w:after="40" w:before="20" w:line="276"/>
      </w:pPr>
      <w:r>
        <w:rPr>
          <w:rFonts w:ascii="Arial" w:cs="Arial" w:eastAsia="Arial" w:hAnsi="Arial"/>
          <w:color w:val="1C1917"/>
          <w:sz w:val="20"/>
          <w:szCs w:val="20"/>
        </w:rPr>
        <w:t xml:space="preserve">Fortune, price of oil on 9 October 2026: fortune.com/article/price-of-oil-10-09-2026</w:t>
      </w:r>
    </w:p>
    <w:p>
      <w:pPr>
        <w:pStyle w:val="ListParagraph"/>
        <w:numPr>
          <w:ilvl w:val="0"/>
          <w:numId w:val="2"/>
        </w:numPr>
        <w:spacing w:after="40" w:before="20" w:line="276"/>
      </w:pPr>
      <w:r>
        <w:rPr>
          <w:rFonts w:ascii="Arial" w:cs="Arial" w:eastAsia="Arial" w:hAnsi="Arial"/>
          <w:color w:val="1C1917"/>
          <w:sz w:val="20"/>
          <w:szCs w:val="20"/>
        </w:rPr>
        <w:t xml:space="preserve">Maritime Gateway, Suez Canal return (13 July 2026): maritimegateway.com/suez-canal-return</w:t>
      </w:r>
    </w:p>
    <w:p>
      <w:pPr>
        <w:pStyle w:val="ListParagraph"/>
        <w:numPr>
          <w:ilvl w:val="0"/>
          <w:numId w:val="2"/>
        </w:numPr>
        <w:spacing w:after="40" w:before="20" w:line="276"/>
      </w:pPr>
      <w:r>
        <w:rPr>
          <w:rFonts w:ascii="Arial" w:cs="Arial" w:eastAsia="Arial" w:hAnsi="Arial"/>
          <w:color w:val="1C1917"/>
          <w:sz w:val="20"/>
          <w:szCs w:val="20"/>
        </w:rPr>
        <w:t xml:space="preserve">Global Trade Alert, From IEEPA to Section 122: globaltradealert.org/blog/from-ieepa-to-section-122</w:t>
      </w:r>
    </w:p>
    <w:p>
      <w:pPr>
        <w:pStyle w:val="ListParagraph"/>
        <w:numPr>
          <w:ilvl w:val="0"/>
          <w:numId w:val="2"/>
        </w:numPr>
        <w:spacing w:after="40" w:before="20" w:line="276"/>
      </w:pPr>
      <w:r>
        <w:rPr>
          <w:rFonts w:ascii="Arial" w:cs="Arial" w:eastAsia="Arial" w:hAnsi="Arial"/>
          <w:color w:val="1C1917"/>
          <w:sz w:val="20"/>
          <w:szCs w:val="20"/>
        </w:rPr>
        <w:t xml:space="preserve">Linklaters, EU CBAM simplification: sustainablefutures.linklaters.com</w:t>
      </w:r>
    </w:p>
    <w:p>
      <w:pPr>
        <w:pStyle w:val="ListParagraph"/>
        <w:numPr>
          <w:ilvl w:val="0"/>
          <w:numId w:val="2"/>
        </w:numPr>
        <w:spacing w:after="40" w:before="20" w:line="276"/>
      </w:pPr>
      <w:r>
        <w:rPr>
          <w:rFonts w:ascii="Arial" w:cs="Arial" w:eastAsia="Arial" w:hAnsi="Arial"/>
          <w:color w:val="1C1917"/>
          <w:sz w:val="20"/>
          <w:szCs w:val="20"/>
        </w:rPr>
        <w:t xml:space="preserve">Baker McKenzie, EU Forced Labour Regulation guidelines (August 2026): globalimportblog.bakermckenzie.com</w:t>
      </w:r>
    </w:p>
    <w:p>
      <w:pPr>
        <w:pStyle w:val="ListParagraph"/>
        <w:numPr>
          <w:ilvl w:val="0"/>
          <w:numId w:val="2"/>
        </w:numPr>
        <w:spacing w:after="40" w:before="20" w:line="276"/>
      </w:pPr>
      <w:r>
        <w:rPr>
          <w:rFonts w:ascii="Arial" w:cs="Arial" w:eastAsia="Arial" w:hAnsi="Arial"/>
          <w:color w:val="1C1917"/>
          <w:sz w:val="20"/>
          <w:szCs w:val="20"/>
        </w:rPr>
        <w:t xml:space="preserve">Clifford Chance, Omnibus I: CSDDD and CSRD reforms (February 2026): cliffordchance.com</w:t>
      </w:r>
    </w:p>
    <w:p>
      <w:pPr>
        <w:pStyle w:val="ListParagraph"/>
        <w:numPr>
          <w:ilvl w:val="0"/>
          <w:numId w:val="2"/>
        </w:numPr>
        <w:spacing w:after="40" w:before="20" w:line="276"/>
      </w:pPr>
      <w:r>
        <w:rPr>
          <w:rFonts w:ascii="Arial" w:cs="Arial" w:eastAsia="Arial" w:hAnsi="Arial"/>
          <w:color w:val="1C1917"/>
          <w:sz w:val="20"/>
          <w:szCs w:val="20"/>
        </w:rPr>
        <w:t xml:space="preserve">Gibson Dunn, EU AI Act Omnibus agreement (May 2026): gibsondunn.com</w:t>
      </w:r>
    </w:p>
    <w:p>
      <w:pPr>
        <w:pStyle w:val="ListParagraph"/>
        <w:numPr>
          <w:ilvl w:val="0"/>
          <w:numId w:val="2"/>
        </w:numPr>
        <w:spacing w:after="40" w:before="20" w:line="276"/>
      </w:pPr>
      <w:r>
        <w:rPr>
          <w:rFonts w:ascii="Arial" w:cs="Arial" w:eastAsia="Arial" w:hAnsi="Arial"/>
          <w:color w:val="1C1917"/>
          <w:sz w:val="20"/>
          <w:szCs w:val="20"/>
        </w:rPr>
        <w:t xml:space="preserve">CIPS, Procurement and Supply Cycle and Code of Conduct: cips.org</w:t>
      </w:r>
    </w:p>
    <w:p>
      <w:pPr>
        <w:pStyle w:val="ListParagraph"/>
        <w:numPr>
          <w:ilvl w:val="0"/>
          <w:numId w:val="2"/>
        </w:numPr>
        <w:spacing w:after="40" w:before="20" w:line="276"/>
      </w:pPr>
      <w:r>
        <w:rPr>
          <w:rFonts w:ascii="Arial" w:cs="Arial" w:eastAsia="Arial" w:hAnsi="Arial"/>
          <w:color w:val="1C1917"/>
          <w:sz w:val="20"/>
          <w:szCs w:val="20"/>
        </w:rPr>
        <w:t xml:space="preserve">AcqNotes, templates list: acqnotes.com/acqnote/tools/templates</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Templates support judgement; they do not replace it. Where a template asks a question that does not apply, write "not applicable" and the reason, rather than deleting it. The reason is often the most useful line for the next person who reads the file.</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NSM-00  Procurement Template Library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Template Library Guide</dc:title>
  <dc:creator>NSM Sourcing</dc:creator>
  <dc:description>Thirty-five practical templates arranged along the procurement and supply cycle, from business need to contract close-out, updated for AI, geopolitical risk and new trade and sustainability rules (October 2026).</dc:description>
  <cp:lastModifiedBy>Un-named</cp:lastModifiedBy>
  <cp:revision>1</cp:revision>
  <dcterms:created xsi:type="dcterms:W3CDTF">2026-10-12T12:02:47.933Z</dcterms:created>
  <dcterms:modified xsi:type="dcterms:W3CDTF">2026-10-12T12:02:47.941Z</dcterms:modified>
</cp:coreProperties>
</file>

<file path=docProps/custom.xml><?xml version="1.0" encoding="utf-8"?>
<Properties xmlns="http://schemas.openxmlformats.org/officeDocument/2006/custom-properties" xmlns:vt="http://schemas.openxmlformats.org/officeDocument/2006/docPropsVTypes"/>
</file>